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B141" w14:textId="4F7A1BB0" w:rsidR="00200CCE" w:rsidRPr="00200CCE" w:rsidRDefault="00200CCE" w:rsidP="0052253B">
      <w:pPr>
        <w:widowControl w:val="0"/>
        <w:snapToGrid w:val="0"/>
        <w:spacing w:beforeLines="30" w:before="108" w:afterLines="20" w:after="72" w:line="240" w:lineRule="auto"/>
        <w:jc w:val="center"/>
        <w:rPr>
          <w:rFonts w:ascii="Times New Roman" w:eastAsia="標楷體" w:hAnsi="Times New Roman" w:cs="Times New Roman"/>
          <w:iCs w:val="0"/>
          <w:color w:val="000000" w:themeColor="text1"/>
          <w:kern w:val="2"/>
          <w:sz w:val="36"/>
          <w:szCs w:val="36"/>
        </w:rPr>
      </w:pPr>
      <w:r w:rsidRPr="00050309">
        <w:rPr>
          <w:rFonts w:ascii="標楷體" w:eastAsia="標楷體" w:hAnsi="Times New Roman" w:cs="Times New Roman" w:hint="eastAsia"/>
          <w:b/>
          <w:iCs w:val="0"/>
          <w:color w:val="000000" w:themeColor="text1"/>
          <w:kern w:val="2"/>
          <w:sz w:val="36"/>
          <w:szCs w:val="24"/>
        </w:rPr>
        <w:t>國立中山大學工學院教師聘任要點</w:t>
      </w:r>
    </w:p>
    <w:p w14:paraId="79CCC44D" w14:textId="7E04F219" w:rsidR="00050309" w:rsidRPr="006A3FE2" w:rsidRDefault="001F5091" w:rsidP="0052253B">
      <w:pPr>
        <w:widowControl w:val="0"/>
        <w:snapToGrid w:val="0"/>
        <w:spacing w:beforeLines="30" w:before="108" w:afterLines="50" w:after="180" w:line="240" w:lineRule="auto"/>
        <w:jc w:val="center"/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</w:pPr>
      <w:r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 xml:space="preserve">Guidelines </w:t>
      </w:r>
      <w:r w:rsidR="0052253B"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 xml:space="preserve">on </w:t>
      </w:r>
      <w:r w:rsidR="00383DDA"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 xml:space="preserve">the </w:t>
      </w:r>
      <w:r w:rsidR="0052253B"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>Appointment of Faculty in</w:t>
      </w:r>
      <w:r w:rsidR="00394B4B"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 xml:space="preserve"> the </w:t>
      </w:r>
      <w:r w:rsidR="0052253B" w:rsidRPr="006A3FE2">
        <w:rPr>
          <w:rFonts w:ascii="Times New Roman" w:eastAsia="標楷體" w:hAnsi="Times New Roman" w:cs="Times New Roman"/>
          <w:b/>
          <w:bCs/>
          <w:iCs w:val="0"/>
          <w:kern w:val="2"/>
          <w:sz w:val="36"/>
          <w:szCs w:val="36"/>
        </w:rPr>
        <w:t>College of Engineering</w:t>
      </w:r>
    </w:p>
    <w:p w14:paraId="4FB34A5B" w14:textId="621F79F0" w:rsidR="00357C8C" w:rsidRPr="006A3FE2" w:rsidRDefault="00357C8C" w:rsidP="00BD53E5">
      <w:pPr>
        <w:widowControl w:val="0"/>
        <w:adjustRightInd w:val="0"/>
        <w:snapToGrid w:val="0"/>
        <w:spacing w:beforeLines="50" w:before="180" w:afterLines="50" w:after="180" w:line="240" w:lineRule="auto"/>
        <w:contextualSpacing/>
        <w:jc w:val="right"/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</w:pP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106.5.25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本院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105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學年度第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3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次院務會議通過</w:t>
      </w:r>
    </w:p>
    <w:p w14:paraId="4CF9BCC0" w14:textId="4D04BA75" w:rsidR="00BD53E5" w:rsidRPr="006A3FE2" w:rsidRDefault="00BD53E5" w:rsidP="00BD53E5">
      <w:pPr>
        <w:widowControl w:val="0"/>
        <w:adjustRightInd w:val="0"/>
        <w:snapToGrid w:val="0"/>
        <w:spacing w:beforeLines="50" w:before="180" w:afterLines="50" w:after="180" w:line="240" w:lineRule="auto"/>
        <w:contextualSpacing/>
        <w:jc w:val="right"/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</w:pP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 xml:space="preserve">Approved at the 3rd College </w:t>
      </w:r>
      <w:r w:rsidR="0052253B"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 xml:space="preserve">Council </w:t>
      </w:r>
      <w:r w:rsidR="007910C2"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 xml:space="preserve">meeting 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on May 25, 2017</w:t>
      </w:r>
    </w:p>
    <w:p w14:paraId="2C386C9C" w14:textId="77777777" w:rsidR="00357C8C" w:rsidRPr="006A3FE2" w:rsidRDefault="00357C8C" w:rsidP="00BD53E5">
      <w:pPr>
        <w:widowControl w:val="0"/>
        <w:adjustRightInd w:val="0"/>
        <w:snapToGrid w:val="0"/>
        <w:spacing w:beforeLines="50" w:before="180" w:afterLines="50" w:after="180" w:line="240" w:lineRule="auto"/>
        <w:contextualSpacing/>
        <w:jc w:val="right"/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</w:pP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106.6.15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本校教師評審委員會第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381</w:t>
      </w: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次會議通過</w:t>
      </w:r>
    </w:p>
    <w:p w14:paraId="72A71BEB" w14:textId="4971EC8D" w:rsidR="002B619F" w:rsidRPr="006A3FE2" w:rsidRDefault="0012211F" w:rsidP="0052253B">
      <w:pPr>
        <w:widowControl w:val="0"/>
        <w:snapToGrid w:val="0"/>
        <w:spacing w:beforeLines="50" w:before="180" w:afterLines="100" w:after="360" w:line="240" w:lineRule="auto"/>
        <w:jc w:val="right"/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</w:pPr>
      <w:r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Approved at the 381st University Faculty Evalua</w:t>
      </w:r>
      <w:r w:rsidR="007B16D8"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 xml:space="preserve">tion Committee </w:t>
      </w:r>
      <w:r w:rsidR="007910C2"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m</w:t>
      </w:r>
      <w:r w:rsidR="007B16D8" w:rsidRPr="006A3FE2">
        <w:rPr>
          <w:rFonts w:ascii="Times New Roman" w:eastAsia="標楷體" w:hAnsi="Times New Roman" w:cs="Times New Roman"/>
          <w:iCs w:val="0"/>
          <w:kern w:val="2"/>
          <w:sz w:val="20"/>
          <w:szCs w:val="20"/>
        </w:rPr>
        <w:t>eeting on June 15, 2017</w:t>
      </w:r>
    </w:p>
    <w:p w14:paraId="25C46073" w14:textId="77777777" w:rsidR="00110D78" w:rsidRPr="0052253B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52253B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為審議有關本院專兼任教師之聘任，依據本校「教師</w:t>
      </w:r>
      <w:bookmarkStart w:id="0" w:name="_GoBack"/>
      <w:bookmarkEnd w:id="0"/>
      <w:r w:rsidRPr="0052253B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評審委員會設置辦法」及「教師及研究人員聘任規則」之規定，訂定本要點。</w:t>
      </w:r>
    </w:p>
    <w:p w14:paraId="0D803DFF" w14:textId="38C6C986" w:rsidR="006902F4" w:rsidRPr="006A3FE2" w:rsidRDefault="007B16D8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</w:pPr>
      <w:r w:rsidRPr="0052253B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The</w:t>
      </w:r>
      <w:r w:rsidR="007910C2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se</w:t>
      </w:r>
      <w:r w:rsidRPr="0052253B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 </w:t>
      </w:r>
      <w:r w:rsidR="007910C2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g</w:t>
      </w:r>
      <w:r w:rsidR="001F5091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uidelines</w:t>
      </w:r>
      <w:r w:rsidR="001F5091" w:rsidRPr="0052253B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 </w:t>
      </w:r>
      <w:r w:rsidR="004B16B7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are </w:t>
      </w:r>
      <w:r w:rsidR="00455080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formulat</w:t>
      </w:r>
      <w:r w:rsidR="004B16B7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ed </w:t>
      </w:r>
      <w:r w:rsidR="006E786A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to review </w:t>
      </w:r>
      <w:r w:rsidR="006E786A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appointment </w:t>
      </w:r>
      <w:r w:rsidR="006E786A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of full-time and </w:t>
      </w:r>
      <w:r w:rsidR="006E786A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adjunct</w:t>
      </w:r>
      <w:r w:rsidR="006E786A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faculty </w:t>
      </w:r>
      <w:r w:rsidR="006E786A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i</w:t>
      </w:r>
      <w:r w:rsidR="006E786A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n</w:t>
      </w:r>
      <w:r w:rsidR="006E786A" w:rsidRPr="0052253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the College</w:t>
      </w:r>
      <w:r w:rsidR="006E786A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of Engi</w:t>
      </w:r>
      <w:r w:rsidR="006E786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neering (hereinafter referred to as the “College”)</w:t>
      </w:r>
      <w:r w:rsidR="00B7371C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 xml:space="preserve"> </w:t>
      </w:r>
      <w:r w:rsidR="0045508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in accordance with</w:t>
      </w:r>
      <w:r w:rsidR="00063B2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the</w:t>
      </w:r>
      <w:r w:rsidR="007910C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University’s</w:t>
      </w:r>
      <w:r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 xml:space="preserve"> </w:t>
      </w:r>
      <w:r w:rsidR="00063B26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Regulations for </w:t>
      </w:r>
      <w:r w:rsidR="00281D5E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the Establishment of </w:t>
      </w:r>
      <w:r w:rsidR="00063B26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>Faculty Evaluation Committee</w:t>
      </w:r>
      <w:r w:rsidR="007910C2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>s</w:t>
      </w:r>
      <w:r w:rsidR="00063B2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and </w:t>
      </w:r>
      <w:r w:rsidR="004F2AA8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>Regulations fo</w:t>
      </w:r>
      <w:r w:rsidR="00281D5E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r </w:t>
      </w:r>
      <w:r w:rsidR="009319F2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the </w:t>
      </w:r>
      <w:r w:rsidR="00281D5E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Appointment of </w:t>
      </w:r>
      <w:r w:rsidR="004F2AA8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>Faculty and Researchers</w:t>
      </w:r>
      <w:r w:rsidR="00EC140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.</w:t>
      </w:r>
    </w:p>
    <w:p w14:paraId="771CD752" w14:textId="68014A6B" w:rsidR="002B619F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各系、所新聘專、兼任教師，須符合本校「教師及研究人員聘任規則」之規定，並經由系所教師評審委員會初審通過，再送本院教師評審委員會複審。</w:t>
      </w:r>
    </w:p>
    <w:p w14:paraId="297DBE6A" w14:textId="3D2DDD31" w:rsidR="002B619F" w:rsidRPr="006A3FE2" w:rsidRDefault="003F40C3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Applicants for </w:t>
      </w:r>
      <w:r w:rsidR="00D30E0D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full-time or </w:t>
      </w:r>
      <w:r w:rsidR="00AF1F43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a</w:t>
      </w:r>
      <w:r w:rsidR="00AF1F43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djunct</w:t>
      </w:r>
      <w:r w:rsidR="00D30E0D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faculty </w:t>
      </w:r>
      <w:r w:rsidR="00960927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positions in indivi</w:t>
      </w:r>
      <w:r w:rsidR="009609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dual departments/ institutes </w:t>
      </w:r>
      <w:r w:rsidR="00AF1F4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shall </w:t>
      </w:r>
      <w:r w:rsidR="00724CA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meet</w:t>
      </w:r>
      <w:r w:rsidR="00D30E0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9609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</w:t>
      </w:r>
      <w:r w:rsidR="00D30E0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requirements </w:t>
      </w:r>
      <w:r w:rsidR="00724CA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specified in</w:t>
      </w:r>
      <w:r w:rsidR="00FD61CF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</w:t>
      </w:r>
      <w:r w:rsidR="00B708A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University’s </w:t>
      </w:r>
      <w:r w:rsidR="005F3D6C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Regulations for </w:t>
      </w:r>
      <w:r w:rsidR="009319F2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 xml:space="preserve">the </w:t>
      </w:r>
      <w:r w:rsidR="005F3D6C" w:rsidRPr="006A3FE2">
        <w:rPr>
          <w:rFonts w:ascii="Times New Roman" w:eastAsia="標楷體" w:hAnsi="Times New Roman" w:cs="Times New Roman"/>
          <w:i/>
          <w:iCs w:val="0"/>
          <w:kern w:val="2"/>
          <w:sz w:val="28"/>
          <w:szCs w:val="28"/>
        </w:rPr>
        <w:t>Appointment of Faculty and Researchers</w:t>
      </w:r>
      <w:r w:rsidR="00AF1F4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.</w:t>
      </w:r>
      <w:r w:rsidR="005F3D6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AF1F4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Their appointments shall be approved through an initial review by </w:t>
      </w:r>
      <w:r w:rsidR="00962F4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d</w:t>
      </w:r>
      <w:r w:rsidR="00AF1F4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epart</w:t>
      </w:r>
      <w:r w:rsidR="00962F4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ment</w:t>
      </w:r>
      <w:r w:rsidR="009609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/institute</w:t>
      </w:r>
      <w:r w:rsidR="00962F4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faculty evaluation committees</w:t>
      </w:r>
      <w:r w:rsidR="009609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(hereinafter referred to as the department faculty evaluation committee, the “DFEC”)</w:t>
      </w:r>
      <w:r w:rsidR="00962F4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, and then submitted to the College Faculty Evaluation Committee (CFEC) for further review.</w:t>
      </w:r>
    </w:p>
    <w:p w14:paraId="56997DE7" w14:textId="3C1BE73B" w:rsidR="006902F4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本院審查各系、所新聘專、兼任助理教授以上之教師，均須辦理著作外審，惟經本校教評會認可之各國院士、各專門學會會士</w:t>
      </w: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(Fellow) </w:t>
      </w: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，或國家講座、著名大學講座教授、國際知名學者、學術成就傑出者、獲科技部傑出研究獎者、中研院年輕學者獎者、科技部吳大猷獎者等，如具教師證書者，得免送外審查，逕由各級教評會投票審查，如未具教師證書者，得以其申請本校講座教授之外審結果，視同新聘專任教師之外審結果；惟</w:t>
      </w:r>
      <w:r w:rsidRPr="006A3FE2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未送外審者，仍需辦理專任教師外審。新聘專、兼任助理教授，申請者應備妥前一職級以後之著作</w:t>
      </w:r>
      <w:r w:rsidRPr="006A3FE2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(</w:t>
      </w:r>
      <w:r w:rsidRPr="006A3FE2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含學位論文</w:t>
      </w:r>
      <w:r w:rsidRPr="006A3FE2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)</w:t>
      </w:r>
      <w:r w:rsidRPr="006A3FE2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或技術報告至多六件，由院辦理學位論文（著作）外審，外審結果應送回系、所教評會審議；新聘專、兼任副教授以上之教師，申請者應備妥前一職級以後之著作或技術報告至多十件，由</w:t>
      </w: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校教評會辦理著作審查，惟新聘兼任助理教授以上之教師，若已具教育部同等級證書，得逕由院教師評審委員會審查，免辦著作外審。</w:t>
      </w:r>
    </w:p>
    <w:p w14:paraId="418657FF" w14:textId="4FC02EF2" w:rsidR="002B619F" w:rsidRPr="0052253B" w:rsidRDefault="00605196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The College </w:t>
      </w:r>
      <w:r w:rsidR="00B0790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shall</w:t>
      </w: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conduct </w:t>
      </w:r>
      <w:r w:rsidR="00B0790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the</w:t>
      </w:r>
      <w:r w:rsidR="00B07909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</w:t>
      </w:r>
      <w:r w:rsidR="006844F6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external review </w:t>
      </w:r>
      <w:r w:rsidR="00B0790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on academic works </w:t>
      </w:r>
      <w:r w:rsidR="000C3B9D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of applicants for </w:t>
      </w:r>
      <w:r w:rsidR="006844F6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full-time or </w:t>
      </w:r>
      <w:r w:rsidR="004666D8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adjunct</w:t>
      </w:r>
      <w:r w:rsidR="006844F6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</w:t>
      </w:r>
      <w:r w:rsidR="009B3416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faculty </w:t>
      </w:r>
      <w:r w:rsidR="004666D8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positions </w:t>
      </w:r>
      <w:r w:rsidR="008C7EE5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at the rank of assistant professor or higher</w:t>
      </w:r>
      <w:r w:rsidR="00576E5C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. </w:t>
      </w:r>
      <w:r w:rsidR="00B8530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lastRenderedPageBreak/>
        <w:t>F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ellow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of 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international academy or 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academ</w:t>
      </w:r>
      <w:r w:rsidR="00B8530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ic association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recognized by the University Faculty Evaluation Committee (UFEC)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, 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n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ational 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c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hair 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rofessor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r w:rsidR="00513A3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, </w:t>
      </w:r>
      <w:r w:rsidR="00B8530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c</w:t>
      </w:r>
      <w:r w:rsidR="006A7BC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hair </w:t>
      </w:r>
      <w:r w:rsidR="0044267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</w:t>
      </w:r>
      <w:r w:rsidR="006A7BC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rofessor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r w:rsidR="006A7BC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at </w:t>
      </w:r>
      <w:r w:rsidR="0014260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prestigious</w:t>
      </w:r>
      <w:r w:rsidR="006A7BC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universit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ies</w:t>
      </w:r>
      <w:r w:rsidR="00520B33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,</w:t>
      </w:r>
      <w:r w:rsidR="00225CC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14260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world-renowned scholar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s, individuals </w:t>
      </w:r>
      <w:r w:rsidR="00225CC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demonstrat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ing</w:t>
      </w:r>
      <w:r w:rsidR="00225CC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3A4CB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outstanding academic </w:t>
      </w:r>
      <w:r w:rsidR="00225CCD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performance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, recipients of </w:t>
      </w:r>
      <w:r w:rsidR="00520B33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 xml:space="preserve">the </w:t>
      </w:r>
      <w:r w:rsidR="004C1F3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Outstanding Research Award of </w:t>
      </w:r>
      <w:r w:rsidR="0044267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National </w:t>
      </w:r>
      <w:r w:rsidR="004C1F3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Science and Technology</w:t>
      </w:r>
      <w:r w:rsidR="0044267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Council (NSTC)</w:t>
      </w:r>
      <w:r w:rsidR="001F126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, </w:t>
      </w:r>
      <w:r w:rsidR="00AE1EF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Young Scholars Award</w:t>
      </w:r>
      <w:r w:rsidR="009E07E5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1F126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of</w:t>
      </w:r>
      <w:r w:rsidR="00A44B6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1F126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Academia Sinica</w:t>
      </w:r>
      <w:r w:rsidR="00520B33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,</w:t>
      </w:r>
      <w:r w:rsidR="00B42B88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or </w:t>
      </w:r>
      <w:r w:rsidR="0044267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NSTC </w:t>
      </w:r>
      <w:r w:rsidR="00B42B88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Ta-You Wu Memorial Award</w:t>
      </w:r>
      <w:r w:rsidR="0045792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,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who possess the Teacher’s Certificate</w:t>
      </w:r>
      <w:r w:rsidR="0045792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,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9D6EC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may be exemp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 from</w:t>
      </w:r>
      <w:r w:rsidR="009212D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F00D2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</w:t>
      </w:r>
      <w:r w:rsidR="009212D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external review 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on their academic works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and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their application may be directly reviewed by faculty evaluation committees at all level</w:t>
      </w:r>
      <w:r w:rsidR="0053371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535AF0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t</w:t>
      </w:r>
      <w:r w:rsidR="00535AF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hrough a voting process. 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For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those 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without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</w:t>
      </w:r>
      <w:r w:rsidR="005C0C7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eacher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’s C</w:t>
      </w:r>
      <w:r w:rsidR="005C0C7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ertificate, </w:t>
      </w:r>
      <w:r w:rsidR="00E5569B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results of </w:t>
      </w:r>
      <w:r w:rsidR="00E5569B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external review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on</w:t>
      </w:r>
      <w:r w:rsidR="00E5569B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 application of NSYSU </w:t>
      </w:r>
      <w:r w:rsidR="00F17481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c</w:t>
      </w:r>
      <w:r w:rsidR="00F1748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hair 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professorship may deemed as equivalent to external review results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for applying for full-time faculty position</w:t>
      </w:r>
      <w:r w:rsidR="002D72F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.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However, applicants</w:t>
      </w:r>
      <w:r w:rsidR="000761D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failing to</w:t>
      </w:r>
      <w:r w:rsidR="000761D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meet any </w:t>
      </w:r>
      <w:r w:rsidR="00E00860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 xml:space="preserve">of the </w:t>
      </w:r>
      <w:r w:rsidR="000761D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conditions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stipulated </w:t>
      </w:r>
      <w:r w:rsidR="000761D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above shall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still submit their academic works for an external review. Applicants </w:t>
      </w:r>
      <w:r w:rsidR="006C09B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applying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for full-time or adjunct assistant professor positions </w:t>
      </w:r>
      <w:r w:rsidR="003F116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shall </w:t>
      </w:r>
      <w:r w:rsidR="00CF5038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submit</w:t>
      </w:r>
      <w:r w:rsidR="003F116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DA312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up to </w:t>
      </w:r>
      <w:r w:rsidR="004D46D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six</w:t>
      </w:r>
      <w:r w:rsidR="00DA312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bookmarkStart w:id="1" w:name="_Hlk59315393"/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academic </w:t>
      </w:r>
      <w:r w:rsidR="009511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publication</w:t>
      </w:r>
      <w:r w:rsidR="00DA312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s</w:t>
      </w:r>
      <w:bookmarkEnd w:id="1"/>
      <w:r w:rsidR="00D5172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(including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their </w:t>
      </w:r>
      <w:r w:rsidR="00D5172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dissertation) or technical reports</w:t>
      </w:r>
      <w:r w:rsidR="00DA312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completed 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at their current rank for an external review conducted by the College, with the results forwarded to the DFEC for </w:t>
      </w:r>
      <w:r w:rsidR="00A321DC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r</w:t>
      </w:r>
      <w:r w:rsidR="00A321D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eview</w:t>
      </w:r>
      <w:r w:rsidR="00F37EE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.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Those</w:t>
      </w:r>
      <w:r w:rsidR="00122BB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apply</w:t>
      </w:r>
      <w:r w:rsidR="006A6F1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ing</w:t>
      </w:r>
      <w:r w:rsidR="00122BB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for full-time or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adjunct</w:t>
      </w:r>
      <w:r w:rsidR="00122BB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associate professor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positions</w:t>
      </w:r>
      <w:r w:rsidR="00122BB6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or higher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shall submit </w:t>
      </w:r>
      <w:r w:rsidR="00566B0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up to </w:t>
      </w:r>
      <w:r w:rsidR="00B57583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ten</w:t>
      </w:r>
      <w:r w:rsidR="00566B0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academic </w:t>
      </w:r>
      <w:r w:rsidR="006A6F1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publications</w:t>
      </w:r>
      <w:r w:rsidR="00566B0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or technical reports completed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at </w:t>
      </w:r>
      <w:r w:rsidR="00566B0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the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ir</w:t>
      </w:r>
      <w:r w:rsidR="00566B0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current rank</w:t>
      </w:r>
      <w:r w:rsidR="006E5751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to the UFEC for the external review of their works. However, those </w:t>
      </w:r>
      <w:r w:rsidR="00DE31E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applying for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adjunct</w:t>
      </w:r>
      <w:r w:rsidR="00DE31E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assistant professor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positions </w:t>
      </w:r>
      <w:r w:rsidR="00DE31E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or higher </w:t>
      </w:r>
      <w:r w:rsidR="00112027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may be exempt from </w:t>
      </w:r>
      <w:r w:rsidR="0047243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an external review of their academic works if they possess </w:t>
      </w:r>
      <w:r w:rsidR="009C1DB9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>t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he</w:t>
      </w:r>
      <w:r w:rsidR="00472432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Teacher’s Certificate of the applied rank issued </w:t>
      </w:r>
      <w:r w:rsidR="0036743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by </w:t>
      </w:r>
      <w:r w:rsidR="00E602F7" w:rsidRPr="006A3FE2">
        <w:rPr>
          <w:rFonts w:ascii="Times New Roman" w:eastAsia="標楷體" w:hAnsi="Times New Roman" w:cs="Times New Roman" w:hint="eastAsia"/>
          <w:iCs w:val="0"/>
          <w:kern w:val="2"/>
          <w:sz w:val="28"/>
          <w:szCs w:val="28"/>
        </w:rPr>
        <w:t xml:space="preserve">the </w:t>
      </w:r>
      <w:r w:rsidR="0036743A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Ministry of Education</w:t>
      </w:r>
      <w:r w:rsidR="0085706E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. Th</w:t>
      </w:r>
      <w:r w:rsidR="0085706E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eir application shall then be submitted directly to </w:t>
      </w:r>
      <w:r w:rsidR="00E602F7"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the </w:t>
      </w:r>
      <w:r w:rsidR="003659FE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C</w:t>
      </w:r>
      <w:r w:rsidR="007E46DD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FEC </w:t>
      </w:r>
      <w:r w:rsidR="0085706E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for review. </w:t>
      </w:r>
    </w:p>
    <w:p w14:paraId="3CF30781" w14:textId="55B95001" w:rsidR="002B619F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各系、所新聘專、兼任教師，應於每學期開始前三個月，備齊有關證件資料提院教師評審委員會。</w:t>
      </w:r>
    </w:p>
    <w:p w14:paraId="701C1FCA" w14:textId="1306236C" w:rsidR="006902F4" w:rsidRPr="0052253B" w:rsidRDefault="00AE79AB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Individual departments/institutes shall submit relevant documentation of the </w:t>
      </w:r>
      <w:r w:rsidR="00213BC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approved applicants for their </w:t>
      </w: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full-time </w:t>
      </w:r>
      <w:r w:rsidR="00213BC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or</w:t>
      </w: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adjunct </w:t>
      </w:r>
      <w:r w:rsidR="00213BC9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positions</w:t>
      </w: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to the C</w:t>
      </w:r>
      <w:r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FEC a</w:t>
      </w:r>
      <w:r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t least three months before the semester starts.</w:t>
      </w:r>
    </w:p>
    <w:p w14:paraId="3B9CAC17" w14:textId="1A0D93D8" w:rsidR="002B619F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有關教師之聘期、停聘、解聘及不續聘等事項，悉依本校相關規定辦理。</w:t>
      </w:r>
    </w:p>
    <w:p w14:paraId="36CF4DAA" w14:textId="67CDFD2F" w:rsidR="002B619F" w:rsidRPr="0052253B" w:rsidRDefault="00262C9E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Matters </w:t>
      </w:r>
      <w:r w:rsidR="00355EAC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r</w:t>
      </w:r>
      <w:r w:rsidR="00355EAC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egard</w:t>
      </w:r>
      <w:r w:rsidR="00355EAC" w:rsidRPr="00CB636D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ing</w:t>
      </w:r>
      <w:r w:rsidRPr="00CB636D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ter</w:t>
      </w:r>
      <w:r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m, suspension</w:t>
      </w:r>
      <w:r w:rsidR="008B166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, dismissal</w:t>
      </w:r>
      <w:r w:rsidR="005858D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,</w:t>
      </w:r>
      <w:r w:rsidR="008B166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and non-renewal </w:t>
      </w:r>
      <w:r w:rsidR="00355EA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of appointments </w:t>
      </w:r>
      <w:r w:rsidR="008B166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shall be handled </w:t>
      </w:r>
      <w:r w:rsidR="009C1DB9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in accordance with</w:t>
      </w:r>
      <w:r w:rsidR="008B166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 relevant regulations of </w:t>
      </w:r>
      <w:r w:rsidR="00355EAC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the University</w:t>
      </w:r>
      <w:r w:rsidR="008B1660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.</w:t>
      </w:r>
    </w:p>
    <w:p w14:paraId="6CFEAE1A" w14:textId="5B1FD98D" w:rsidR="002B619F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本要點未盡事宜，悉依相關法令及本校相關規定辦理。</w:t>
      </w:r>
    </w:p>
    <w:p w14:paraId="2F1DB352" w14:textId="564D9F4E" w:rsidR="006902F4" w:rsidRPr="0052253B" w:rsidRDefault="003A4F0D" w:rsidP="0052253B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Matters not </w:t>
      </w:r>
      <w:r w:rsidR="00962F44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covered here</w:t>
      </w: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in shall be handled </w:t>
      </w:r>
      <w:r w:rsidR="00962F44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in accordance with relevant laws and University’s regulations.</w:t>
      </w:r>
    </w:p>
    <w:p w14:paraId="4E10C259" w14:textId="75A5BC32" w:rsidR="002B619F" w:rsidRPr="00211931" w:rsidRDefault="002B619F" w:rsidP="0052253B">
      <w:pPr>
        <w:pStyle w:val="a"/>
        <w:widowControl w:val="0"/>
        <w:numPr>
          <w:ilvl w:val="0"/>
          <w:numId w:val="31"/>
        </w:numPr>
        <w:snapToGrid w:val="0"/>
        <w:spacing w:beforeLines="50" w:before="180" w:afterLines="50" w:after="180" w:line="240" w:lineRule="auto"/>
        <w:ind w:left="567" w:hanging="709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>本要點經院務會議通過，送請本校教師評審委員會核備後實施，修正時亦同。</w:t>
      </w:r>
    </w:p>
    <w:p w14:paraId="3EBF93E5" w14:textId="3F974770" w:rsidR="00107E81" w:rsidRPr="002560B4" w:rsidRDefault="00107E81" w:rsidP="002560B4">
      <w:pPr>
        <w:pStyle w:val="a"/>
        <w:widowControl w:val="0"/>
        <w:numPr>
          <w:ilvl w:val="0"/>
          <w:numId w:val="38"/>
        </w:numPr>
        <w:snapToGrid w:val="0"/>
        <w:spacing w:beforeLines="50" w:before="180" w:afterLines="50" w:after="18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</w:pP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The</w:t>
      </w:r>
      <w:r w:rsidR="00962F44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se</w:t>
      </w:r>
      <w:r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</w:t>
      </w:r>
      <w:r w:rsidR="00962F44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g</w:t>
      </w:r>
      <w:r w:rsidR="001F5091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uidelines</w:t>
      </w:r>
      <w:r w:rsidR="001F5091"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 </w:t>
      </w:r>
      <w:r w:rsidR="00962F44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are approved by th</w:t>
      </w:r>
      <w:r w:rsidR="00962F44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e College Council and s</w:t>
      </w:r>
      <w:r w:rsidR="00942D7B" w:rsidRPr="006A3FE2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>u</w:t>
      </w:r>
      <w:r w:rsidR="00942D7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bmitted to the </w:t>
      </w:r>
      <w:r w:rsidR="00942D7B" w:rsidRPr="00CB636D">
        <w:rPr>
          <w:rFonts w:ascii="Times New Roman" w:eastAsia="標楷體" w:hAnsi="Times New Roman" w:cs="Times New Roman"/>
          <w:iCs w:val="0"/>
          <w:kern w:val="2"/>
          <w:sz w:val="28"/>
          <w:szCs w:val="28"/>
        </w:rPr>
        <w:t xml:space="preserve">UFEC </w:t>
      </w:r>
      <w:r w:rsidR="00942D7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for future reference before implementation. </w:t>
      </w:r>
      <w:r w:rsidR="007A5C47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Amendments to the</w:t>
      </w:r>
      <w:r w:rsidR="00942D7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se</w:t>
      </w:r>
      <w:r w:rsidR="007A5C47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 xml:space="preserve"> </w:t>
      </w:r>
      <w:r w:rsidR="00942D7B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g</w:t>
      </w:r>
      <w:r w:rsidR="001F5091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uidelines</w:t>
      </w:r>
      <w:r w:rsidR="001F5091" w:rsidRPr="00211931">
        <w:rPr>
          <w:rFonts w:ascii="Times New Roman" w:eastAsia="標楷體" w:hAnsi="Times New Roman" w:cs="Times New Roman" w:hint="eastAsia"/>
          <w:iCs w:val="0"/>
          <w:color w:val="000000" w:themeColor="text1"/>
          <w:kern w:val="2"/>
          <w:sz w:val="28"/>
          <w:szCs w:val="28"/>
        </w:rPr>
        <w:t xml:space="preserve"> </w:t>
      </w:r>
      <w:r w:rsidR="007A5C47" w:rsidRPr="00211931">
        <w:rPr>
          <w:rFonts w:ascii="Times New Roman" w:eastAsia="標楷體" w:hAnsi="Times New Roman" w:cs="Times New Roman"/>
          <w:iCs w:val="0"/>
          <w:color w:val="000000" w:themeColor="text1"/>
          <w:kern w:val="2"/>
          <w:sz w:val="28"/>
          <w:szCs w:val="28"/>
        </w:rPr>
        <w:t>shall follow the same procedure.</w:t>
      </w:r>
    </w:p>
    <w:sectPr w:rsidR="00107E81" w:rsidRPr="002560B4" w:rsidSect="00A8455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7B56" w14:textId="77777777" w:rsidR="00642461" w:rsidRDefault="00642461" w:rsidP="00FF72A8">
      <w:pPr>
        <w:spacing w:after="0" w:line="240" w:lineRule="auto"/>
      </w:pPr>
      <w:r>
        <w:separator/>
      </w:r>
    </w:p>
  </w:endnote>
  <w:endnote w:type="continuationSeparator" w:id="0">
    <w:p w14:paraId="1118DF76" w14:textId="77777777" w:rsidR="00642461" w:rsidRDefault="00642461" w:rsidP="00FF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16F2" w14:textId="77777777" w:rsidR="00A321DC" w:rsidRDefault="00A321DC" w:rsidP="00CB636D">
    <w:pPr>
      <w:pStyle w:val="afb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56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9BAC6B" w14:textId="26F146E4" w:rsidR="00A321DC" w:rsidRPr="00CB636D" w:rsidRDefault="00A321DC" w:rsidP="00CB636D">
        <w:pPr>
          <w:pStyle w:val="afb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CB636D">
          <w:rPr>
            <w:rFonts w:ascii="Times New Roman" w:hAnsi="Times New Roman" w:cs="Times New Roman"/>
          </w:rPr>
          <w:fldChar w:fldCharType="begin"/>
        </w:r>
        <w:r w:rsidRPr="00CB636D">
          <w:rPr>
            <w:rFonts w:ascii="Times New Roman" w:hAnsi="Times New Roman" w:cs="Times New Roman"/>
          </w:rPr>
          <w:instrText>PAGE   \* MERGEFORMAT</w:instrText>
        </w:r>
        <w:r w:rsidRPr="00CB636D">
          <w:rPr>
            <w:rFonts w:ascii="Times New Roman" w:hAnsi="Times New Roman" w:cs="Times New Roman"/>
          </w:rPr>
          <w:fldChar w:fldCharType="separate"/>
        </w:r>
        <w:r w:rsidR="00642461">
          <w:rPr>
            <w:rFonts w:ascii="Times New Roman" w:hAnsi="Times New Roman" w:cs="Times New Roman"/>
            <w:noProof/>
          </w:rPr>
          <w:t>1</w:t>
        </w:r>
        <w:r w:rsidRPr="00CB636D">
          <w:rPr>
            <w:rFonts w:ascii="Times New Roman" w:hAnsi="Times New Roman" w:cs="Times New Roman"/>
          </w:rPr>
          <w:fldChar w:fldCharType="end"/>
        </w:r>
      </w:p>
      <w:p w14:paraId="5E212B91" w14:textId="5C647AD5" w:rsidR="003D6650" w:rsidRPr="00A321DC" w:rsidRDefault="00A321DC" w:rsidP="00CB636D">
        <w:pPr>
          <w:pStyle w:val="afb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110D78">
          <w:rPr>
            <w:rFonts w:ascii="Times New Roman" w:hAnsi="Times New Roman" w:cs="Times New Roman"/>
          </w:rPr>
          <w:t>Any dispute over interpretations of these regulations shall be resolved in the court of law based on the Chinese version.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D074" w14:textId="77777777" w:rsidR="00642461" w:rsidRDefault="00642461" w:rsidP="00FF72A8">
      <w:pPr>
        <w:spacing w:after="0" w:line="240" w:lineRule="auto"/>
      </w:pPr>
      <w:r>
        <w:separator/>
      </w:r>
    </w:p>
  </w:footnote>
  <w:footnote w:type="continuationSeparator" w:id="0">
    <w:p w14:paraId="33C53D7D" w14:textId="77777777" w:rsidR="00642461" w:rsidRDefault="00642461" w:rsidP="00FF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67F8" w14:textId="77777777" w:rsidR="00A321DC" w:rsidRDefault="00A321DC" w:rsidP="002560B4">
    <w:pPr>
      <w:pStyle w:val="af9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37F"/>
    <w:multiLevelType w:val="hybridMultilevel"/>
    <w:tmpl w:val="76B203A4"/>
    <w:lvl w:ilvl="0" w:tplc="1CF6653E">
      <w:start w:val="1"/>
      <w:numFmt w:val="taiwaneseCountingThousand"/>
      <w:lvlText w:val="%1、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CA6718"/>
    <w:multiLevelType w:val="hybridMultilevel"/>
    <w:tmpl w:val="C4F220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C3E1A"/>
    <w:multiLevelType w:val="hybridMultilevel"/>
    <w:tmpl w:val="616CE62A"/>
    <w:lvl w:ilvl="0" w:tplc="DD9C6618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7B2EE8"/>
    <w:multiLevelType w:val="hybridMultilevel"/>
    <w:tmpl w:val="45681B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97AF7"/>
    <w:multiLevelType w:val="hybridMultilevel"/>
    <w:tmpl w:val="46744814"/>
    <w:lvl w:ilvl="0" w:tplc="5172F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B3462"/>
    <w:multiLevelType w:val="hybridMultilevel"/>
    <w:tmpl w:val="8654DBE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2842E5"/>
    <w:multiLevelType w:val="hybridMultilevel"/>
    <w:tmpl w:val="3476E140"/>
    <w:lvl w:ilvl="0" w:tplc="58EA60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2E343D"/>
    <w:multiLevelType w:val="hybridMultilevel"/>
    <w:tmpl w:val="9162BFF0"/>
    <w:lvl w:ilvl="0" w:tplc="04090015">
      <w:start w:val="1"/>
      <w:numFmt w:val="taiwaneseCountingThousand"/>
      <w:lvlText w:val="%1、"/>
      <w:lvlJc w:val="left"/>
      <w:pPr>
        <w:ind w:left="6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8" w15:restartNumberingAfterBreak="0">
    <w:nsid w:val="5A5241E6"/>
    <w:multiLevelType w:val="hybridMultilevel"/>
    <w:tmpl w:val="18B8BB6E"/>
    <w:lvl w:ilvl="0" w:tplc="04090001">
      <w:start w:val="1"/>
      <w:numFmt w:val="bullet"/>
      <w:lvlText w:val=""/>
      <w:lvlJc w:val="left"/>
      <w:pPr>
        <w:ind w:left="432" w:hanging="432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65D7B"/>
    <w:multiLevelType w:val="hybridMultilevel"/>
    <w:tmpl w:val="62969E7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682AB9"/>
    <w:multiLevelType w:val="hybridMultilevel"/>
    <w:tmpl w:val="8C3C4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964F0C"/>
    <w:multiLevelType w:val="hybridMultilevel"/>
    <w:tmpl w:val="EC12067C"/>
    <w:lvl w:ilvl="0" w:tplc="849CF4B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6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3"/>
    <w:rsid w:val="000020D9"/>
    <w:rsid w:val="00015173"/>
    <w:rsid w:val="000300E5"/>
    <w:rsid w:val="0004455B"/>
    <w:rsid w:val="00050309"/>
    <w:rsid w:val="000542AD"/>
    <w:rsid w:val="00063B26"/>
    <w:rsid w:val="00072F7C"/>
    <w:rsid w:val="000761DC"/>
    <w:rsid w:val="00086BA1"/>
    <w:rsid w:val="000943A7"/>
    <w:rsid w:val="000C3B9D"/>
    <w:rsid w:val="000C6553"/>
    <w:rsid w:val="000D2B48"/>
    <w:rsid w:val="000D3EEE"/>
    <w:rsid w:val="000F2D67"/>
    <w:rsid w:val="000F345A"/>
    <w:rsid w:val="001000F3"/>
    <w:rsid w:val="001006BF"/>
    <w:rsid w:val="0010253C"/>
    <w:rsid w:val="00107E81"/>
    <w:rsid w:val="00110D78"/>
    <w:rsid w:val="00112027"/>
    <w:rsid w:val="00112575"/>
    <w:rsid w:val="00113963"/>
    <w:rsid w:val="001218D8"/>
    <w:rsid w:val="0012211F"/>
    <w:rsid w:val="00122BB6"/>
    <w:rsid w:val="00130F90"/>
    <w:rsid w:val="00134195"/>
    <w:rsid w:val="00141656"/>
    <w:rsid w:val="0014260D"/>
    <w:rsid w:val="00163AA8"/>
    <w:rsid w:val="00167A7A"/>
    <w:rsid w:val="001B3930"/>
    <w:rsid w:val="001D4AFC"/>
    <w:rsid w:val="001F1262"/>
    <w:rsid w:val="001F5091"/>
    <w:rsid w:val="00200CCE"/>
    <w:rsid w:val="00211931"/>
    <w:rsid w:val="00213BC9"/>
    <w:rsid w:val="00225CCD"/>
    <w:rsid w:val="00230BD9"/>
    <w:rsid w:val="00232696"/>
    <w:rsid w:val="00237175"/>
    <w:rsid w:val="00253EB7"/>
    <w:rsid w:val="002560B4"/>
    <w:rsid w:val="00262AB6"/>
    <w:rsid w:val="00262C9E"/>
    <w:rsid w:val="00266ED7"/>
    <w:rsid w:val="002745A7"/>
    <w:rsid w:val="00281A62"/>
    <w:rsid w:val="00281D5E"/>
    <w:rsid w:val="002860B2"/>
    <w:rsid w:val="00290859"/>
    <w:rsid w:val="00293BE3"/>
    <w:rsid w:val="002A5BA6"/>
    <w:rsid w:val="002B478E"/>
    <w:rsid w:val="002B619F"/>
    <w:rsid w:val="002C5DE5"/>
    <w:rsid w:val="002C6EF9"/>
    <w:rsid w:val="002D1E91"/>
    <w:rsid w:val="002D72F9"/>
    <w:rsid w:val="002F4332"/>
    <w:rsid w:val="0030035E"/>
    <w:rsid w:val="0032702B"/>
    <w:rsid w:val="00334973"/>
    <w:rsid w:val="00336769"/>
    <w:rsid w:val="00337F67"/>
    <w:rsid w:val="00345EFE"/>
    <w:rsid w:val="0035198A"/>
    <w:rsid w:val="00355EAC"/>
    <w:rsid w:val="00357C8C"/>
    <w:rsid w:val="003659FE"/>
    <w:rsid w:val="0036743A"/>
    <w:rsid w:val="00371B2E"/>
    <w:rsid w:val="003733D0"/>
    <w:rsid w:val="0037580B"/>
    <w:rsid w:val="003816CE"/>
    <w:rsid w:val="00383DDA"/>
    <w:rsid w:val="00393E2F"/>
    <w:rsid w:val="00394B4B"/>
    <w:rsid w:val="00394B57"/>
    <w:rsid w:val="003959A8"/>
    <w:rsid w:val="003A4CB7"/>
    <w:rsid w:val="003A4F0D"/>
    <w:rsid w:val="003A5BA2"/>
    <w:rsid w:val="003B5916"/>
    <w:rsid w:val="003B65F7"/>
    <w:rsid w:val="003C42EC"/>
    <w:rsid w:val="003D029F"/>
    <w:rsid w:val="003D6650"/>
    <w:rsid w:val="003F1164"/>
    <w:rsid w:val="003F30AF"/>
    <w:rsid w:val="003F40C3"/>
    <w:rsid w:val="0041511F"/>
    <w:rsid w:val="00435944"/>
    <w:rsid w:val="0044267A"/>
    <w:rsid w:val="00452ADA"/>
    <w:rsid w:val="00453A79"/>
    <w:rsid w:val="00455080"/>
    <w:rsid w:val="00455491"/>
    <w:rsid w:val="00456B3C"/>
    <w:rsid w:val="00457922"/>
    <w:rsid w:val="00460B0A"/>
    <w:rsid w:val="004666D8"/>
    <w:rsid w:val="00472432"/>
    <w:rsid w:val="00472EE3"/>
    <w:rsid w:val="004A422A"/>
    <w:rsid w:val="004A70EA"/>
    <w:rsid w:val="004B079F"/>
    <w:rsid w:val="004B16B7"/>
    <w:rsid w:val="004B3F38"/>
    <w:rsid w:val="004C1F31"/>
    <w:rsid w:val="004C7622"/>
    <w:rsid w:val="004D46D6"/>
    <w:rsid w:val="004F2AA8"/>
    <w:rsid w:val="004F42C4"/>
    <w:rsid w:val="00506550"/>
    <w:rsid w:val="00510F69"/>
    <w:rsid w:val="00513A39"/>
    <w:rsid w:val="00520B33"/>
    <w:rsid w:val="00522470"/>
    <w:rsid w:val="0052253B"/>
    <w:rsid w:val="00533712"/>
    <w:rsid w:val="00535AF0"/>
    <w:rsid w:val="0054019D"/>
    <w:rsid w:val="00566B0C"/>
    <w:rsid w:val="00567C29"/>
    <w:rsid w:val="00576E5C"/>
    <w:rsid w:val="0058029D"/>
    <w:rsid w:val="005858D0"/>
    <w:rsid w:val="00587BFC"/>
    <w:rsid w:val="0059615D"/>
    <w:rsid w:val="00596AB5"/>
    <w:rsid w:val="005B3530"/>
    <w:rsid w:val="005C0C71"/>
    <w:rsid w:val="005E4E1A"/>
    <w:rsid w:val="005F2194"/>
    <w:rsid w:val="005F3D6C"/>
    <w:rsid w:val="00600B08"/>
    <w:rsid w:val="00605196"/>
    <w:rsid w:val="00605DCA"/>
    <w:rsid w:val="00624E47"/>
    <w:rsid w:val="00627A3D"/>
    <w:rsid w:val="00630CA1"/>
    <w:rsid w:val="00642461"/>
    <w:rsid w:val="00655C29"/>
    <w:rsid w:val="00671272"/>
    <w:rsid w:val="00681225"/>
    <w:rsid w:val="0068325A"/>
    <w:rsid w:val="006844F6"/>
    <w:rsid w:val="006854ED"/>
    <w:rsid w:val="006902F4"/>
    <w:rsid w:val="006A3FE2"/>
    <w:rsid w:val="006A564D"/>
    <w:rsid w:val="006A6F10"/>
    <w:rsid w:val="006A712B"/>
    <w:rsid w:val="006A7BC0"/>
    <w:rsid w:val="006B3C57"/>
    <w:rsid w:val="006B49C7"/>
    <w:rsid w:val="006B6515"/>
    <w:rsid w:val="006C09B7"/>
    <w:rsid w:val="006D1262"/>
    <w:rsid w:val="006D5693"/>
    <w:rsid w:val="006D5E9A"/>
    <w:rsid w:val="006E5662"/>
    <w:rsid w:val="006E5751"/>
    <w:rsid w:val="006E786A"/>
    <w:rsid w:val="006F0441"/>
    <w:rsid w:val="006F0D4C"/>
    <w:rsid w:val="006F4D89"/>
    <w:rsid w:val="006F66CA"/>
    <w:rsid w:val="006F73A2"/>
    <w:rsid w:val="00710E37"/>
    <w:rsid w:val="00721262"/>
    <w:rsid w:val="00724CA4"/>
    <w:rsid w:val="0072534A"/>
    <w:rsid w:val="00753EB3"/>
    <w:rsid w:val="0075636A"/>
    <w:rsid w:val="00760890"/>
    <w:rsid w:val="00772D62"/>
    <w:rsid w:val="007910C2"/>
    <w:rsid w:val="0079416F"/>
    <w:rsid w:val="007965ED"/>
    <w:rsid w:val="007A5C47"/>
    <w:rsid w:val="007B16D8"/>
    <w:rsid w:val="007B39BD"/>
    <w:rsid w:val="007B7F74"/>
    <w:rsid w:val="007C6381"/>
    <w:rsid w:val="007D73B4"/>
    <w:rsid w:val="007E46DD"/>
    <w:rsid w:val="007F7878"/>
    <w:rsid w:val="00805D9D"/>
    <w:rsid w:val="00830638"/>
    <w:rsid w:val="00830F82"/>
    <w:rsid w:val="008337CE"/>
    <w:rsid w:val="00833DE2"/>
    <w:rsid w:val="0085706E"/>
    <w:rsid w:val="00862C9B"/>
    <w:rsid w:val="00890542"/>
    <w:rsid w:val="008A38A6"/>
    <w:rsid w:val="008B1660"/>
    <w:rsid w:val="008C7EE5"/>
    <w:rsid w:val="008F2383"/>
    <w:rsid w:val="008F3275"/>
    <w:rsid w:val="008F5462"/>
    <w:rsid w:val="00901F97"/>
    <w:rsid w:val="009212D6"/>
    <w:rsid w:val="0092178F"/>
    <w:rsid w:val="009319F2"/>
    <w:rsid w:val="00936A37"/>
    <w:rsid w:val="00942D7B"/>
    <w:rsid w:val="009476E9"/>
    <w:rsid w:val="009504CC"/>
    <w:rsid w:val="009511B9"/>
    <w:rsid w:val="00960927"/>
    <w:rsid w:val="00962F44"/>
    <w:rsid w:val="009831BB"/>
    <w:rsid w:val="00994659"/>
    <w:rsid w:val="00996F52"/>
    <w:rsid w:val="00997CD9"/>
    <w:rsid w:val="009A6DE2"/>
    <w:rsid w:val="009B3416"/>
    <w:rsid w:val="009C1DB9"/>
    <w:rsid w:val="009D2990"/>
    <w:rsid w:val="009D5F6B"/>
    <w:rsid w:val="009D6EC4"/>
    <w:rsid w:val="009E07E5"/>
    <w:rsid w:val="009E0B72"/>
    <w:rsid w:val="009E224E"/>
    <w:rsid w:val="009F524A"/>
    <w:rsid w:val="009F6D9F"/>
    <w:rsid w:val="00A046CC"/>
    <w:rsid w:val="00A052E9"/>
    <w:rsid w:val="00A075E1"/>
    <w:rsid w:val="00A20326"/>
    <w:rsid w:val="00A30EE8"/>
    <w:rsid w:val="00A321DC"/>
    <w:rsid w:val="00A35DE2"/>
    <w:rsid w:val="00A41CE9"/>
    <w:rsid w:val="00A4305C"/>
    <w:rsid w:val="00A44158"/>
    <w:rsid w:val="00A44B63"/>
    <w:rsid w:val="00A44E59"/>
    <w:rsid w:val="00A4754B"/>
    <w:rsid w:val="00A50EF8"/>
    <w:rsid w:val="00A6357F"/>
    <w:rsid w:val="00A72CB6"/>
    <w:rsid w:val="00A76618"/>
    <w:rsid w:val="00A77B18"/>
    <w:rsid w:val="00A8339A"/>
    <w:rsid w:val="00A84559"/>
    <w:rsid w:val="00A902BE"/>
    <w:rsid w:val="00AA3E60"/>
    <w:rsid w:val="00AD1AFA"/>
    <w:rsid w:val="00AD652B"/>
    <w:rsid w:val="00AD7DE7"/>
    <w:rsid w:val="00AE051F"/>
    <w:rsid w:val="00AE1EFC"/>
    <w:rsid w:val="00AE3F21"/>
    <w:rsid w:val="00AE79AB"/>
    <w:rsid w:val="00AF1F43"/>
    <w:rsid w:val="00B07909"/>
    <w:rsid w:val="00B42B88"/>
    <w:rsid w:val="00B57583"/>
    <w:rsid w:val="00B708AA"/>
    <w:rsid w:val="00B7371C"/>
    <w:rsid w:val="00B84060"/>
    <w:rsid w:val="00B8530A"/>
    <w:rsid w:val="00B97090"/>
    <w:rsid w:val="00BA36E0"/>
    <w:rsid w:val="00BB1C09"/>
    <w:rsid w:val="00BC26AF"/>
    <w:rsid w:val="00BD1319"/>
    <w:rsid w:val="00BD1FAC"/>
    <w:rsid w:val="00BD53E5"/>
    <w:rsid w:val="00BD63C9"/>
    <w:rsid w:val="00BE6DDA"/>
    <w:rsid w:val="00C1289C"/>
    <w:rsid w:val="00C20DA2"/>
    <w:rsid w:val="00C6121F"/>
    <w:rsid w:val="00C63F4E"/>
    <w:rsid w:val="00C70C0C"/>
    <w:rsid w:val="00C75FC3"/>
    <w:rsid w:val="00C8199E"/>
    <w:rsid w:val="00C854CD"/>
    <w:rsid w:val="00C96BF2"/>
    <w:rsid w:val="00CB2EE8"/>
    <w:rsid w:val="00CB636D"/>
    <w:rsid w:val="00CC0963"/>
    <w:rsid w:val="00CD0818"/>
    <w:rsid w:val="00CD0F89"/>
    <w:rsid w:val="00CF15D0"/>
    <w:rsid w:val="00CF3469"/>
    <w:rsid w:val="00CF5038"/>
    <w:rsid w:val="00D042E8"/>
    <w:rsid w:val="00D13431"/>
    <w:rsid w:val="00D2063F"/>
    <w:rsid w:val="00D24032"/>
    <w:rsid w:val="00D30E0D"/>
    <w:rsid w:val="00D5172C"/>
    <w:rsid w:val="00DA0584"/>
    <w:rsid w:val="00DA312A"/>
    <w:rsid w:val="00DB2BC4"/>
    <w:rsid w:val="00DB5A76"/>
    <w:rsid w:val="00DC66B2"/>
    <w:rsid w:val="00DD25B9"/>
    <w:rsid w:val="00DE31E0"/>
    <w:rsid w:val="00DE41A3"/>
    <w:rsid w:val="00DE667F"/>
    <w:rsid w:val="00E00860"/>
    <w:rsid w:val="00E02BEC"/>
    <w:rsid w:val="00E216AC"/>
    <w:rsid w:val="00E22395"/>
    <w:rsid w:val="00E4490F"/>
    <w:rsid w:val="00E5569B"/>
    <w:rsid w:val="00E602F7"/>
    <w:rsid w:val="00E75780"/>
    <w:rsid w:val="00EA603D"/>
    <w:rsid w:val="00EB202F"/>
    <w:rsid w:val="00EB4B73"/>
    <w:rsid w:val="00EB6B2E"/>
    <w:rsid w:val="00EB6D35"/>
    <w:rsid w:val="00EB727B"/>
    <w:rsid w:val="00EC1400"/>
    <w:rsid w:val="00ED026D"/>
    <w:rsid w:val="00ED6BB6"/>
    <w:rsid w:val="00EE292B"/>
    <w:rsid w:val="00EF7A2A"/>
    <w:rsid w:val="00F00D22"/>
    <w:rsid w:val="00F02A5E"/>
    <w:rsid w:val="00F17481"/>
    <w:rsid w:val="00F24AD4"/>
    <w:rsid w:val="00F37482"/>
    <w:rsid w:val="00F37EE3"/>
    <w:rsid w:val="00F56400"/>
    <w:rsid w:val="00F64944"/>
    <w:rsid w:val="00F7240C"/>
    <w:rsid w:val="00F95EB2"/>
    <w:rsid w:val="00FC6296"/>
    <w:rsid w:val="00FC6A50"/>
    <w:rsid w:val="00FD2289"/>
    <w:rsid w:val="00FD5589"/>
    <w:rsid w:val="00FD61CF"/>
    <w:rsid w:val="00FE3645"/>
    <w:rsid w:val="00FE590A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47B84"/>
  <w15:docId w15:val="{F66048D8-31BC-45F3-A25A-18523CB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52E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052E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A052E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052E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052E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052E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052E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052E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052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052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052E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標題 2 字元"/>
    <w:basedOn w:val="a1"/>
    <w:link w:val="2"/>
    <w:uiPriority w:val="9"/>
    <w:rsid w:val="00A052E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標題 3 字元"/>
    <w:basedOn w:val="a1"/>
    <w:link w:val="3"/>
    <w:uiPriority w:val="9"/>
    <w:semiHidden/>
    <w:rsid w:val="00A052E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標題 4 字元"/>
    <w:basedOn w:val="a1"/>
    <w:link w:val="4"/>
    <w:uiPriority w:val="9"/>
    <w:semiHidden/>
    <w:rsid w:val="00A052E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標題 5 字元"/>
    <w:basedOn w:val="a1"/>
    <w:link w:val="5"/>
    <w:uiPriority w:val="9"/>
    <w:semiHidden/>
    <w:rsid w:val="00A052E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標題 6 字元"/>
    <w:basedOn w:val="a1"/>
    <w:link w:val="6"/>
    <w:uiPriority w:val="9"/>
    <w:semiHidden/>
    <w:rsid w:val="00A052E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標題 7 字元"/>
    <w:basedOn w:val="a1"/>
    <w:link w:val="7"/>
    <w:uiPriority w:val="9"/>
    <w:semiHidden/>
    <w:rsid w:val="00A052E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標題 8 字元"/>
    <w:basedOn w:val="a1"/>
    <w:link w:val="8"/>
    <w:uiPriority w:val="9"/>
    <w:semiHidden/>
    <w:rsid w:val="00A052E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標題 9 字元"/>
    <w:basedOn w:val="a1"/>
    <w:link w:val="9"/>
    <w:uiPriority w:val="9"/>
    <w:semiHidden/>
    <w:rsid w:val="00A052E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052E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052E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標題 字元"/>
    <w:basedOn w:val="a1"/>
    <w:link w:val="a5"/>
    <w:uiPriority w:val="10"/>
    <w:rsid w:val="00A052E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052E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標題 字元"/>
    <w:basedOn w:val="a1"/>
    <w:link w:val="a7"/>
    <w:uiPriority w:val="11"/>
    <w:rsid w:val="00A052E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052E9"/>
    <w:rPr>
      <w:b/>
      <w:bCs/>
      <w:spacing w:val="0"/>
    </w:rPr>
  </w:style>
  <w:style w:type="character" w:styleId="aa">
    <w:name w:val="Emphasis"/>
    <w:uiPriority w:val="20"/>
    <w:qFormat/>
    <w:rsid w:val="00A052E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A052E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052E9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A052E9"/>
    <w:rPr>
      <w:b/>
      <w:i/>
      <w:color w:val="C0504D" w:themeColor="accent2"/>
      <w:sz w:val="24"/>
    </w:rPr>
  </w:style>
  <w:style w:type="character" w:customStyle="1" w:styleId="ad">
    <w:name w:val="引文 字元"/>
    <w:basedOn w:val="a1"/>
    <w:link w:val="ac"/>
    <w:uiPriority w:val="29"/>
    <w:rsid w:val="00A052E9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A052E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鮮明引文 字元"/>
    <w:basedOn w:val="a1"/>
    <w:link w:val="ae"/>
    <w:uiPriority w:val="30"/>
    <w:rsid w:val="00A052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A052E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A052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A052E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A052E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A052E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A052E9"/>
    <w:pPr>
      <w:outlineLvl w:val="9"/>
    </w:pPr>
  </w:style>
  <w:style w:type="table" w:styleId="af6">
    <w:name w:val="Table Grid"/>
    <w:basedOn w:val="a2"/>
    <w:uiPriority w:val="59"/>
    <w:rsid w:val="003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0"/>
    <w:next w:val="a0"/>
    <w:link w:val="af8"/>
    <w:uiPriority w:val="99"/>
    <w:semiHidden/>
    <w:unhideWhenUsed/>
    <w:rsid w:val="00EB202F"/>
    <w:pPr>
      <w:jc w:val="right"/>
    </w:pPr>
  </w:style>
  <w:style w:type="character" w:customStyle="1" w:styleId="af8">
    <w:name w:val="日期 字元"/>
    <w:basedOn w:val="a1"/>
    <w:link w:val="af7"/>
    <w:uiPriority w:val="99"/>
    <w:semiHidden/>
    <w:rsid w:val="00EB202F"/>
    <w:rPr>
      <w:iCs/>
      <w:sz w:val="21"/>
      <w:szCs w:val="21"/>
    </w:rPr>
  </w:style>
  <w:style w:type="paragraph" w:styleId="af9">
    <w:name w:val="header"/>
    <w:basedOn w:val="a0"/>
    <w:link w:val="afa"/>
    <w:uiPriority w:val="99"/>
    <w:unhideWhenUsed/>
    <w:rsid w:val="00FF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1"/>
    <w:link w:val="af9"/>
    <w:uiPriority w:val="99"/>
    <w:rsid w:val="00FF72A8"/>
    <w:rPr>
      <w:iCs/>
      <w:sz w:val="20"/>
      <w:szCs w:val="20"/>
    </w:rPr>
  </w:style>
  <w:style w:type="paragraph" w:styleId="afb">
    <w:name w:val="footer"/>
    <w:basedOn w:val="a0"/>
    <w:link w:val="afc"/>
    <w:uiPriority w:val="99"/>
    <w:unhideWhenUsed/>
    <w:rsid w:val="00FF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1"/>
    <w:link w:val="afb"/>
    <w:uiPriority w:val="99"/>
    <w:rsid w:val="00FF72A8"/>
    <w:rPr>
      <w:iCs/>
      <w:sz w:val="20"/>
      <w:szCs w:val="20"/>
    </w:rPr>
  </w:style>
  <w:style w:type="paragraph" w:customStyle="1" w:styleId="11">
    <w:name w:val="清單段落1"/>
    <w:basedOn w:val="a0"/>
    <w:rsid w:val="00D042E8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iCs w:val="0"/>
      <w:kern w:val="2"/>
      <w:sz w:val="24"/>
      <w:szCs w:val="22"/>
    </w:rPr>
  </w:style>
  <w:style w:type="paragraph" w:customStyle="1" w:styleId="21">
    <w:name w:val="清單段落2"/>
    <w:basedOn w:val="a0"/>
    <w:rsid w:val="00E4490F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iCs w:val="0"/>
      <w:kern w:val="2"/>
      <w:sz w:val="24"/>
      <w:szCs w:val="22"/>
    </w:rPr>
  </w:style>
  <w:style w:type="paragraph" w:customStyle="1" w:styleId="Default">
    <w:name w:val="Default"/>
    <w:rsid w:val="0020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0151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015173"/>
    <w:rPr>
      <w:rFonts w:asciiTheme="majorHAnsi" w:eastAsiaTheme="majorEastAsia" w:hAnsiTheme="majorHAnsi" w:cstheme="majorBidi"/>
      <w:iCs/>
      <w:sz w:val="18"/>
      <w:szCs w:val="18"/>
    </w:rPr>
  </w:style>
  <w:style w:type="paragraph" w:styleId="aff">
    <w:name w:val="Revision"/>
    <w:hidden/>
    <w:uiPriority w:val="99"/>
    <w:semiHidden/>
    <w:rsid w:val="006E786A"/>
    <w:pPr>
      <w:spacing w:after="0" w:line="240" w:lineRule="auto"/>
    </w:pPr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EF16-87B4-43E1-9CA8-9752093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雙語校園推動辦公室 (BRO)</cp:lastModifiedBy>
  <cp:revision>3</cp:revision>
  <cp:lastPrinted>2017-02-08T06:53:00Z</cp:lastPrinted>
  <dcterms:created xsi:type="dcterms:W3CDTF">2025-03-05T09:17:00Z</dcterms:created>
  <dcterms:modified xsi:type="dcterms:W3CDTF">2025-03-06T01:09:00Z</dcterms:modified>
</cp:coreProperties>
</file>