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CAF" w:rsidRPr="002277D5" w:rsidRDefault="00545CAF" w:rsidP="00920143">
      <w:pPr>
        <w:spacing w:after="0"/>
        <w:jc w:val="center"/>
        <w:rPr>
          <w:rFonts w:ascii="Times New Roman" w:eastAsia="標楷體" w:hAnsi="Times New Roman"/>
          <w:sz w:val="36"/>
          <w:szCs w:val="36"/>
          <w:lang w:eastAsia="zh-HK"/>
        </w:rPr>
      </w:pPr>
      <w:r w:rsidRPr="002277D5">
        <w:rPr>
          <w:rFonts w:ascii="Times New Roman" w:eastAsia="標楷體" w:hAnsi="Times New Roman" w:hint="eastAsia"/>
          <w:sz w:val="36"/>
          <w:szCs w:val="36"/>
          <w:lang w:eastAsia="zh-HK"/>
        </w:rPr>
        <w:t>國立中山大學工學院</w:t>
      </w:r>
    </w:p>
    <w:p w:rsidR="00545CAF" w:rsidRPr="002277D5" w:rsidRDefault="00545CAF" w:rsidP="00920143">
      <w:pPr>
        <w:spacing w:after="0"/>
        <w:jc w:val="center"/>
        <w:rPr>
          <w:rFonts w:ascii="Times New Roman" w:eastAsia="標楷體" w:hAnsi="Times New Roman"/>
          <w:sz w:val="36"/>
          <w:szCs w:val="36"/>
        </w:rPr>
      </w:pPr>
      <w:r w:rsidRPr="002277D5">
        <w:rPr>
          <w:rFonts w:ascii="Times New Roman" w:eastAsia="標楷體" w:hAnsi="Times New Roman" w:hint="eastAsia"/>
          <w:sz w:val="36"/>
          <w:szCs w:val="36"/>
          <w:lang w:eastAsia="zh-HK"/>
        </w:rPr>
        <w:t>任務編組三級研究中心評鑑要點</w:t>
      </w:r>
    </w:p>
    <w:p w:rsidR="004445B9" w:rsidRPr="002277D5" w:rsidRDefault="00E36301" w:rsidP="002277D5">
      <w:pPr>
        <w:snapToGrid w:val="0"/>
        <w:spacing w:beforeLines="50" w:before="180" w:after="0" w:line="240" w:lineRule="auto"/>
        <w:jc w:val="right"/>
        <w:rPr>
          <w:rFonts w:ascii="Times New Roman" w:eastAsia="標楷體" w:hAnsi="Times New Roman"/>
          <w:sz w:val="20"/>
          <w:szCs w:val="20"/>
          <w:lang w:eastAsia="zh-HK"/>
        </w:rPr>
      </w:pPr>
      <w:r w:rsidRPr="002277D5">
        <w:rPr>
          <w:rFonts w:ascii="Times New Roman" w:eastAsia="標楷體" w:hAnsi="Times New Roman" w:hint="eastAsia"/>
          <w:sz w:val="20"/>
          <w:szCs w:val="20"/>
        </w:rPr>
        <w:t>107</w:t>
      </w:r>
      <w:r w:rsidR="00740FF4" w:rsidRPr="002277D5">
        <w:rPr>
          <w:rFonts w:ascii="Times New Roman" w:eastAsia="標楷體" w:hAnsi="Times New Roman" w:hint="eastAsia"/>
          <w:sz w:val="20"/>
          <w:szCs w:val="20"/>
          <w:lang w:eastAsia="zh-HK"/>
        </w:rPr>
        <w:t>年</w:t>
      </w:r>
      <w:r w:rsidRPr="002277D5">
        <w:rPr>
          <w:rFonts w:ascii="Times New Roman" w:eastAsia="標楷體" w:hAnsi="Times New Roman" w:hint="eastAsia"/>
          <w:sz w:val="20"/>
          <w:szCs w:val="20"/>
        </w:rPr>
        <w:t>7</w:t>
      </w:r>
      <w:r w:rsidR="00740FF4" w:rsidRPr="002277D5">
        <w:rPr>
          <w:rFonts w:ascii="Times New Roman" w:eastAsia="標楷體" w:hAnsi="Times New Roman" w:hint="eastAsia"/>
          <w:sz w:val="20"/>
          <w:szCs w:val="20"/>
          <w:lang w:eastAsia="zh-HK"/>
        </w:rPr>
        <w:t>月</w:t>
      </w:r>
      <w:r w:rsidRPr="002277D5">
        <w:rPr>
          <w:rFonts w:ascii="Times New Roman" w:eastAsia="標楷體" w:hAnsi="Times New Roman" w:hint="eastAsia"/>
          <w:sz w:val="20"/>
          <w:szCs w:val="20"/>
        </w:rPr>
        <w:t>12</w:t>
      </w:r>
      <w:r w:rsidR="00740FF4" w:rsidRPr="002277D5">
        <w:rPr>
          <w:rFonts w:ascii="Times New Roman" w:eastAsia="標楷體" w:hAnsi="Times New Roman" w:hint="eastAsia"/>
          <w:sz w:val="20"/>
          <w:szCs w:val="20"/>
          <w:lang w:eastAsia="zh-HK"/>
        </w:rPr>
        <w:t>日本院</w:t>
      </w:r>
      <w:r w:rsidR="00740FF4" w:rsidRPr="002277D5">
        <w:rPr>
          <w:rFonts w:ascii="Times New Roman" w:eastAsia="標楷體" w:hAnsi="Times New Roman" w:hint="eastAsia"/>
          <w:sz w:val="20"/>
          <w:szCs w:val="20"/>
          <w:lang w:eastAsia="zh-HK"/>
        </w:rPr>
        <w:t>106</w:t>
      </w:r>
      <w:r w:rsidR="00740FF4" w:rsidRPr="002277D5">
        <w:rPr>
          <w:rFonts w:ascii="Times New Roman" w:eastAsia="標楷體" w:hAnsi="Times New Roman" w:hint="eastAsia"/>
          <w:sz w:val="20"/>
          <w:szCs w:val="20"/>
          <w:lang w:eastAsia="zh-HK"/>
        </w:rPr>
        <w:t>學年度第</w:t>
      </w:r>
      <w:r w:rsidRPr="002277D5">
        <w:rPr>
          <w:rFonts w:ascii="Times New Roman" w:eastAsia="標楷體" w:hAnsi="Times New Roman" w:hint="eastAsia"/>
          <w:sz w:val="20"/>
          <w:szCs w:val="20"/>
        </w:rPr>
        <w:t>1</w:t>
      </w:r>
      <w:r w:rsidR="00D9685B" w:rsidRPr="002277D5">
        <w:rPr>
          <w:rFonts w:ascii="Times New Roman" w:eastAsia="標楷體" w:hAnsi="Times New Roman" w:hint="eastAsia"/>
          <w:sz w:val="20"/>
          <w:szCs w:val="20"/>
        </w:rPr>
        <w:t>1</w:t>
      </w:r>
      <w:r w:rsidR="00740FF4" w:rsidRPr="002277D5">
        <w:rPr>
          <w:rFonts w:ascii="Times New Roman" w:eastAsia="標楷體" w:hAnsi="Times New Roman" w:hint="eastAsia"/>
          <w:sz w:val="20"/>
          <w:szCs w:val="20"/>
          <w:lang w:eastAsia="zh-HK"/>
        </w:rPr>
        <w:t>次主管會議訂定</w:t>
      </w:r>
    </w:p>
    <w:p w:rsidR="0033012C" w:rsidRPr="002277D5" w:rsidRDefault="0033012C" w:rsidP="002277D5">
      <w:pPr>
        <w:snapToGrid w:val="0"/>
        <w:spacing w:after="0" w:line="240" w:lineRule="auto"/>
        <w:jc w:val="right"/>
        <w:rPr>
          <w:rFonts w:ascii="Times New Roman" w:eastAsia="標楷體" w:hAnsi="Times New Roman"/>
          <w:sz w:val="20"/>
          <w:szCs w:val="20"/>
        </w:rPr>
      </w:pPr>
      <w:r w:rsidRPr="002277D5">
        <w:rPr>
          <w:rFonts w:ascii="Times New Roman" w:eastAsia="標楷體" w:hAnsi="Times New Roman" w:hint="eastAsia"/>
          <w:sz w:val="20"/>
          <w:szCs w:val="20"/>
        </w:rPr>
        <w:t>107</w:t>
      </w:r>
      <w:r w:rsidRPr="002277D5">
        <w:rPr>
          <w:rFonts w:ascii="Times New Roman" w:eastAsia="標楷體" w:hAnsi="Times New Roman" w:hint="eastAsia"/>
          <w:sz w:val="20"/>
          <w:szCs w:val="20"/>
          <w:lang w:eastAsia="zh-HK"/>
        </w:rPr>
        <w:t>年</w:t>
      </w:r>
      <w:r w:rsidRPr="002277D5">
        <w:rPr>
          <w:rFonts w:ascii="Times New Roman" w:eastAsia="標楷體" w:hAnsi="Times New Roman" w:hint="eastAsia"/>
          <w:sz w:val="20"/>
          <w:szCs w:val="20"/>
        </w:rPr>
        <w:t>10</w:t>
      </w:r>
      <w:r w:rsidRPr="002277D5">
        <w:rPr>
          <w:rFonts w:ascii="Times New Roman" w:eastAsia="標楷體" w:hAnsi="Times New Roman" w:hint="eastAsia"/>
          <w:sz w:val="20"/>
          <w:szCs w:val="20"/>
          <w:lang w:eastAsia="zh-HK"/>
        </w:rPr>
        <w:t>月</w:t>
      </w:r>
      <w:r w:rsidRPr="002277D5">
        <w:rPr>
          <w:rFonts w:ascii="Times New Roman" w:eastAsia="標楷體" w:hAnsi="Times New Roman" w:hint="eastAsia"/>
          <w:sz w:val="20"/>
          <w:szCs w:val="20"/>
        </w:rPr>
        <w:t>12</w:t>
      </w:r>
      <w:r w:rsidRPr="002277D5">
        <w:rPr>
          <w:rFonts w:ascii="Times New Roman" w:eastAsia="標楷體" w:hAnsi="Times New Roman" w:hint="eastAsia"/>
          <w:sz w:val="20"/>
          <w:szCs w:val="20"/>
          <w:lang w:eastAsia="zh-HK"/>
        </w:rPr>
        <w:t>日本院</w:t>
      </w:r>
      <w:r w:rsidRPr="002277D5">
        <w:rPr>
          <w:rFonts w:ascii="Times New Roman" w:eastAsia="標楷體" w:hAnsi="Times New Roman" w:hint="eastAsia"/>
          <w:sz w:val="20"/>
          <w:szCs w:val="20"/>
          <w:lang w:eastAsia="zh-HK"/>
        </w:rPr>
        <w:t>10</w:t>
      </w:r>
      <w:r w:rsidRPr="002277D5">
        <w:rPr>
          <w:rFonts w:ascii="Times New Roman" w:eastAsia="標楷體" w:hAnsi="Times New Roman" w:hint="eastAsia"/>
          <w:sz w:val="20"/>
          <w:szCs w:val="20"/>
        </w:rPr>
        <w:t>7</w:t>
      </w:r>
      <w:r w:rsidRPr="002277D5">
        <w:rPr>
          <w:rFonts w:ascii="Times New Roman" w:eastAsia="標楷體" w:hAnsi="Times New Roman" w:hint="eastAsia"/>
          <w:sz w:val="20"/>
          <w:szCs w:val="20"/>
          <w:lang w:eastAsia="zh-HK"/>
        </w:rPr>
        <w:t>學年度第</w:t>
      </w:r>
      <w:r w:rsidRPr="002277D5">
        <w:rPr>
          <w:rFonts w:ascii="Times New Roman" w:eastAsia="標楷體" w:hAnsi="Times New Roman" w:hint="eastAsia"/>
          <w:sz w:val="20"/>
          <w:szCs w:val="20"/>
        </w:rPr>
        <w:t>2</w:t>
      </w:r>
      <w:r w:rsidRPr="002277D5">
        <w:rPr>
          <w:rFonts w:ascii="Times New Roman" w:eastAsia="標楷體" w:hAnsi="Times New Roman" w:hint="eastAsia"/>
          <w:sz w:val="20"/>
          <w:szCs w:val="20"/>
          <w:lang w:eastAsia="zh-HK"/>
        </w:rPr>
        <w:t>次主管會議</w:t>
      </w:r>
      <w:r w:rsidR="00131DEB" w:rsidRPr="002277D5">
        <w:rPr>
          <w:rFonts w:ascii="Times New Roman" w:eastAsia="標楷體" w:hAnsi="Times New Roman" w:hint="eastAsia"/>
          <w:sz w:val="20"/>
          <w:szCs w:val="20"/>
        </w:rPr>
        <w:t>修</w:t>
      </w:r>
      <w:r w:rsidRPr="002277D5">
        <w:rPr>
          <w:rFonts w:ascii="Times New Roman" w:eastAsia="標楷體" w:hAnsi="Times New Roman" w:hint="eastAsia"/>
          <w:sz w:val="20"/>
          <w:szCs w:val="20"/>
          <w:lang w:eastAsia="zh-HK"/>
        </w:rPr>
        <w:t>訂</w:t>
      </w:r>
    </w:p>
    <w:p w:rsidR="00740FF4" w:rsidRPr="002277D5" w:rsidRDefault="00732BF3" w:rsidP="002277D5">
      <w:pPr>
        <w:snapToGrid w:val="0"/>
        <w:spacing w:after="0" w:line="240" w:lineRule="auto"/>
        <w:jc w:val="right"/>
        <w:rPr>
          <w:rFonts w:ascii="Times New Roman" w:eastAsia="標楷體" w:hAnsi="Times New Roman"/>
          <w:sz w:val="20"/>
          <w:szCs w:val="20"/>
          <w:lang w:eastAsia="zh-HK"/>
        </w:rPr>
      </w:pPr>
      <w:r w:rsidRPr="002277D5">
        <w:rPr>
          <w:rFonts w:ascii="Times New Roman" w:eastAsia="標楷體" w:hAnsi="Times New Roman" w:hint="eastAsia"/>
          <w:sz w:val="20"/>
          <w:szCs w:val="20"/>
        </w:rPr>
        <w:t>111</w:t>
      </w:r>
      <w:r w:rsidRPr="002277D5">
        <w:rPr>
          <w:rFonts w:ascii="Times New Roman" w:eastAsia="標楷體" w:hAnsi="Times New Roman" w:hint="eastAsia"/>
          <w:sz w:val="20"/>
          <w:szCs w:val="20"/>
          <w:lang w:eastAsia="zh-HK"/>
        </w:rPr>
        <w:t>年</w:t>
      </w:r>
      <w:r w:rsidR="001630F4" w:rsidRPr="002277D5">
        <w:rPr>
          <w:rFonts w:ascii="Times New Roman" w:eastAsia="標楷體" w:hAnsi="Times New Roman" w:hint="eastAsia"/>
          <w:sz w:val="20"/>
          <w:szCs w:val="20"/>
        </w:rPr>
        <w:t>6</w:t>
      </w:r>
      <w:r w:rsidRPr="002277D5">
        <w:rPr>
          <w:rFonts w:ascii="Times New Roman" w:eastAsia="標楷體" w:hAnsi="Times New Roman" w:hint="eastAsia"/>
          <w:sz w:val="20"/>
          <w:szCs w:val="20"/>
          <w:lang w:eastAsia="zh-HK"/>
        </w:rPr>
        <w:t>月</w:t>
      </w:r>
      <w:r w:rsidR="001630F4" w:rsidRPr="002277D5">
        <w:rPr>
          <w:rFonts w:ascii="Times New Roman" w:eastAsia="標楷體" w:hAnsi="Times New Roman" w:cs="Times New Roman"/>
          <w:sz w:val="20"/>
          <w:szCs w:val="20"/>
        </w:rPr>
        <w:t>15</w:t>
      </w:r>
      <w:r w:rsidRPr="002277D5">
        <w:rPr>
          <w:rFonts w:ascii="Times New Roman" w:eastAsia="標楷體" w:hAnsi="Times New Roman" w:hint="eastAsia"/>
          <w:sz w:val="20"/>
          <w:szCs w:val="20"/>
          <w:lang w:eastAsia="zh-HK"/>
        </w:rPr>
        <w:t>日本院</w:t>
      </w:r>
      <w:r w:rsidRPr="002277D5">
        <w:rPr>
          <w:rFonts w:ascii="Times New Roman" w:eastAsia="標楷體" w:hAnsi="Times New Roman" w:hint="eastAsia"/>
          <w:sz w:val="20"/>
          <w:szCs w:val="20"/>
          <w:lang w:eastAsia="zh-HK"/>
        </w:rPr>
        <w:t>1</w:t>
      </w:r>
      <w:r w:rsidRPr="002277D5">
        <w:rPr>
          <w:rFonts w:ascii="Times New Roman" w:eastAsia="標楷體" w:hAnsi="Times New Roman" w:hint="eastAsia"/>
          <w:sz w:val="20"/>
          <w:szCs w:val="20"/>
        </w:rPr>
        <w:t>10</w:t>
      </w:r>
      <w:r w:rsidRPr="002277D5">
        <w:rPr>
          <w:rFonts w:ascii="Times New Roman" w:eastAsia="標楷體" w:hAnsi="Times New Roman" w:hint="eastAsia"/>
          <w:sz w:val="20"/>
          <w:szCs w:val="20"/>
          <w:lang w:eastAsia="zh-HK"/>
        </w:rPr>
        <w:t>學年度第</w:t>
      </w:r>
      <w:r w:rsidR="001630F4" w:rsidRPr="002277D5">
        <w:rPr>
          <w:rFonts w:ascii="Times New Roman" w:eastAsia="標楷體" w:hAnsi="Times New Roman" w:hint="eastAsia"/>
          <w:sz w:val="20"/>
          <w:szCs w:val="20"/>
        </w:rPr>
        <w:t>6</w:t>
      </w:r>
      <w:r w:rsidRPr="002277D5">
        <w:rPr>
          <w:rFonts w:ascii="Times New Roman" w:eastAsia="標楷體" w:hAnsi="Times New Roman" w:hint="eastAsia"/>
          <w:sz w:val="20"/>
          <w:szCs w:val="20"/>
          <w:lang w:eastAsia="zh-HK"/>
        </w:rPr>
        <w:t>次主管會議</w:t>
      </w:r>
      <w:r w:rsidRPr="002277D5">
        <w:rPr>
          <w:rFonts w:ascii="Times New Roman" w:eastAsia="標楷體" w:hAnsi="Times New Roman" w:hint="eastAsia"/>
          <w:sz w:val="20"/>
          <w:szCs w:val="20"/>
        </w:rPr>
        <w:t>修</w:t>
      </w:r>
      <w:r w:rsidRPr="002277D5">
        <w:rPr>
          <w:rFonts w:ascii="Times New Roman" w:eastAsia="標楷體" w:hAnsi="Times New Roman" w:hint="eastAsia"/>
          <w:sz w:val="20"/>
          <w:szCs w:val="20"/>
          <w:lang w:eastAsia="zh-HK"/>
        </w:rPr>
        <w:t>訂</w:t>
      </w:r>
    </w:p>
    <w:p w:rsidR="00C5191F" w:rsidRDefault="00C5191F" w:rsidP="002277D5">
      <w:pPr>
        <w:snapToGrid w:val="0"/>
        <w:spacing w:after="0" w:line="140" w:lineRule="atLeast"/>
        <w:jc w:val="right"/>
        <w:rPr>
          <w:rFonts w:ascii="Times New Roman" w:eastAsia="標楷體" w:hAnsi="Times New Roman"/>
          <w:sz w:val="20"/>
          <w:szCs w:val="20"/>
          <w:lang w:eastAsia="zh-HK"/>
        </w:rPr>
      </w:pPr>
      <w:r w:rsidRPr="002277D5">
        <w:rPr>
          <w:rFonts w:ascii="Times New Roman" w:eastAsia="標楷體" w:hAnsi="Times New Roman" w:hint="eastAsia"/>
          <w:sz w:val="20"/>
          <w:szCs w:val="20"/>
        </w:rPr>
        <w:t>111</w:t>
      </w:r>
      <w:r w:rsidRPr="002277D5">
        <w:rPr>
          <w:rFonts w:ascii="Times New Roman" w:eastAsia="標楷體" w:hAnsi="Times New Roman" w:hint="eastAsia"/>
          <w:sz w:val="20"/>
          <w:szCs w:val="20"/>
          <w:lang w:eastAsia="zh-HK"/>
        </w:rPr>
        <w:t>年</w:t>
      </w:r>
      <w:r w:rsidRPr="002277D5">
        <w:rPr>
          <w:rFonts w:ascii="Times New Roman" w:eastAsia="標楷體" w:hAnsi="Times New Roman" w:hint="eastAsia"/>
          <w:sz w:val="20"/>
          <w:szCs w:val="20"/>
        </w:rPr>
        <w:t>8</w:t>
      </w:r>
      <w:r w:rsidRPr="002277D5">
        <w:rPr>
          <w:rFonts w:ascii="Times New Roman" w:eastAsia="標楷體" w:hAnsi="Times New Roman" w:hint="eastAsia"/>
          <w:sz w:val="20"/>
          <w:szCs w:val="20"/>
          <w:lang w:eastAsia="zh-HK"/>
        </w:rPr>
        <w:t>月</w:t>
      </w:r>
      <w:r w:rsidR="00541A0F" w:rsidRPr="002277D5">
        <w:rPr>
          <w:rFonts w:ascii="Times New Roman" w:eastAsia="標楷體" w:hAnsi="Times New Roman" w:hint="eastAsia"/>
          <w:sz w:val="20"/>
          <w:szCs w:val="20"/>
        </w:rPr>
        <w:t>1</w:t>
      </w:r>
      <w:r w:rsidRPr="002277D5">
        <w:rPr>
          <w:rFonts w:ascii="Times New Roman" w:eastAsia="標楷體" w:hAnsi="Times New Roman" w:hint="eastAsia"/>
          <w:sz w:val="20"/>
          <w:szCs w:val="20"/>
          <w:lang w:eastAsia="zh-HK"/>
        </w:rPr>
        <w:t>日本院</w:t>
      </w:r>
      <w:r w:rsidRPr="002277D5">
        <w:rPr>
          <w:rFonts w:ascii="Times New Roman" w:eastAsia="標楷體" w:hAnsi="Times New Roman" w:hint="eastAsia"/>
          <w:sz w:val="20"/>
          <w:szCs w:val="20"/>
          <w:lang w:eastAsia="zh-HK"/>
        </w:rPr>
        <w:t>1</w:t>
      </w:r>
      <w:r w:rsidRPr="002277D5">
        <w:rPr>
          <w:rFonts w:ascii="Times New Roman" w:eastAsia="標楷體" w:hAnsi="Times New Roman" w:hint="eastAsia"/>
          <w:sz w:val="20"/>
          <w:szCs w:val="20"/>
        </w:rPr>
        <w:t>11</w:t>
      </w:r>
      <w:r w:rsidRPr="002277D5">
        <w:rPr>
          <w:rFonts w:ascii="Times New Roman" w:eastAsia="標楷體" w:hAnsi="Times New Roman" w:hint="eastAsia"/>
          <w:sz w:val="20"/>
          <w:szCs w:val="20"/>
          <w:lang w:eastAsia="zh-HK"/>
        </w:rPr>
        <w:t>學年度第</w:t>
      </w:r>
      <w:r w:rsidRPr="002277D5">
        <w:rPr>
          <w:rFonts w:ascii="Times New Roman" w:eastAsia="標楷體" w:hAnsi="Times New Roman" w:hint="eastAsia"/>
          <w:sz w:val="20"/>
          <w:szCs w:val="20"/>
        </w:rPr>
        <w:t>1</w:t>
      </w:r>
      <w:r w:rsidRPr="002277D5">
        <w:rPr>
          <w:rFonts w:ascii="Times New Roman" w:eastAsia="標楷體" w:hAnsi="Times New Roman" w:hint="eastAsia"/>
          <w:sz w:val="20"/>
          <w:szCs w:val="20"/>
          <w:lang w:eastAsia="zh-HK"/>
        </w:rPr>
        <w:t>次主管會議</w:t>
      </w:r>
      <w:r w:rsidRPr="002277D5">
        <w:rPr>
          <w:rFonts w:ascii="Times New Roman" w:eastAsia="標楷體" w:hAnsi="Times New Roman" w:hint="eastAsia"/>
          <w:sz w:val="20"/>
          <w:szCs w:val="20"/>
        </w:rPr>
        <w:t>修</w:t>
      </w:r>
      <w:r w:rsidRPr="002277D5">
        <w:rPr>
          <w:rFonts w:ascii="Times New Roman" w:eastAsia="標楷體" w:hAnsi="Times New Roman" w:hint="eastAsia"/>
          <w:sz w:val="20"/>
          <w:szCs w:val="20"/>
          <w:lang w:eastAsia="zh-HK"/>
        </w:rPr>
        <w:t>訂</w:t>
      </w:r>
    </w:p>
    <w:p w:rsidR="002277D5" w:rsidRPr="002277D5" w:rsidRDefault="002277D5" w:rsidP="002277D5">
      <w:pPr>
        <w:snapToGrid w:val="0"/>
        <w:spacing w:after="0" w:line="140" w:lineRule="atLeast"/>
        <w:jc w:val="right"/>
        <w:rPr>
          <w:rFonts w:ascii="Times New Roman" w:eastAsia="標楷體" w:hAnsi="Times New Roman"/>
          <w:sz w:val="20"/>
          <w:szCs w:val="20"/>
        </w:rPr>
      </w:pPr>
      <w:r>
        <w:rPr>
          <w:rFonts w:ascii="Times New Roman" w:eastAsia="標楷體" w:hAnsi="Times New Roman" w:hint="eastAsia"/>
          <w:sz w:val="20"/>
          <w:szCs w:val="20"/>
        </w:rPr>
        <w:t>111</w:t>
      </w:r>
      <w:r>
        <w:rPr>
          <w:rFonts w:ascii="Times New Roman" w:eastAsia="標楷體" w:hAnsi="Times New Roman" w:hint="eastAsia"/>
          <w:sz w:val="20"/>
          <w:szCs w:val="20"/>
        </w:rPr>
        <w:t>年</w:t>
      </w:r>
      <w:r>
        <w:rPr>
          <w:rFonts w:ascii="Times New Roman" w:eastAsia="標楷體" w:hAnsi="Times New Roman" w:hint="eastAsia"/>
          <w:sz w:val="20"/>
          <w:szCs w:val="20"/>
        </w:rPr>
        <w:t>8</w:t>
      </w:r>
      <w:r>
        <w:rPr>
          <w:rFonts w:ascii="Times New Roman" w:eastAsia="標楷體" w:hAnsi="Times New Roman" w:hint="eastAsia"/>
          <w:sz w:val="20"/>
          <w:szCs w:val="20"/>
        </w:rPr>
        <w:t>月</w:t>
      </w:r>
      <w:r w:rsidR="006955C6">
        <w:rPr>
          <w:rFonts w:ascii="Times New Roman" w:eastAsia="標楷體" w:hAnsi="Times New Roman" w:hint="eastAsia"/>
          <w:sz w:val="20"/>
          <w:szCs w:val="20"/>
        </w:rPr>
        <w:t>26</w:t>
      </w:r>
      <w:r>
        <w:rPr>
          <w:rFonts w:ascii="Times New Roman" w:eastAsia="標楷體" w:hAnsi="Times New Roman" w:hint="eastAsia"/>
          <w:sz w:val="20"/>
          <w:szCs w:val="20"/>
        </w:rPr>
        <w:t>日</w:t>
      </w:r>
      <w:r>
        <w:rPr>
          <w:rFonts w:ascii="Times New Roman" w:eastAsia="標楷體" w:hAnsi="Times New Roman" w:hint="eastAsia"/>
          <w:sz w:val="20"/>
          <w:szCs w:val="20"/>
        </w:rPr>
        <w:t>111</w:t>
      </w:r>
      <w:r>
        <w:rPr>
          <w:rFonts w:ascii="Times New Roman" w:eastAsia="標楷體" w:hAnsi="Times New Roman" w:hint="eastAsia"/>
          <w:sz w:val="20"/>
          <w:szCs w:val="20"/>
        </w:rPr>
        <w:t>年第</w:t>
      </w:r>
      <w:r>
        <w:rPr>
          <w:rFonts w:ascii="Times New Roman" w:eastAsia="標楷體" w:hAnsi="Times New Roman" w:hint="eastAsia"/>
          <w:sz w:val="20"/>
          <w:szCs w:val="20"/>
        </w:rPr>
        <w:t>3</w:t>
      </w:r>
      <w:r>
        <w:rPr>
          <w:rFonts w:ascii="Times New Roman" w:eastAsia="標楷體" w:hAnsi="Times New Roman" w:hint="eastAsia"/>
          <w:sz w:val="20"/>
          <w:szCs w:val="20"/>
        </w:rPr>
        <w:t>次研究中心管理委員會修訂</w:t>
      </w:r>
    </w:p>
    <w:p w:rsidR="004445B9" w:rsidRPr="002277D5" w:rsidRDefault="004445B9" w:rsidP="00D33F4E">
      <w:pPr>
        <w:snapToGrid w:val="0"/>
        <w:spacing w:beforeLines="50" w:before="180" w:line="240" w:lineRule="auto"/>
        <w:ind w:left="480" w:hangingChars="200" w:hanging="480"/>
        <w:jc w:val="both"/>
        <w:rPr>
          <w:rFonts w:ascii="Times New Roman" w:eastAsia="標楷體" w:hAnsi="Times New Roman"/>
          <w:sz w:val="24"/>
          <w:szCs w:val="28"/>
        </w:rPr>
      </w:pPr>
      <w:r w:rsidRPr="002277D5">
        <w:rPr>
          <w:rFonts w:ascii="Times New Roman" w:eastAsia="標楷體" w:hAnsi="Times New Roman" w:hint="eastAsia"/>
          <w:sz w:val="24"/>
          <w:szCs w:val="28"/>
          <w:lang w:eastAsia="zh-HK"/>
        </w:rPr>
        <w:t>一、</w:t>
      </w:r>
      <w:r w:rsidR="008C75F6" w:rsidRPr="002277D5">
        <w:rPr>
          <w:rFonts w:ascii="Times New Roman" w:eastAsia="標楷體" w:hAnsi="Times New Roman" w:hint="eastAsia"/>
          <w:sz w:val="24"/>
          <w:szCs w:val="28"/>
          <w:lang w:eastAsia="zh-HK"/>
        </w:rPr>
        <w:t>為有效管理本院任務編組三級研究中心</w:t>
      </w:r>
      <w:r w:rsidR="008C75F6" w:rsidRPr="002277D5">
        <w:rPr>
          <w:rFonts w:ascii="Times New Roman" w:eastAsia="標楷體" w:hAnsi="Times New Roman" w:hint="eastAsia"/>
          <w:sz w:val="24"/>
          <w:szCs w:val="28"/>
          <w:lang w:eastAsia="zh-HK"/>
        </w:rPr>
        <w:t>(</w:t>
      </w:r>
      <w:r w:rsidR="008C75F6" w:rsidRPr="002277D5">
        <w:rPr>
          <w:rFonts w:ascii="Times New Roman" w:eastAsia="標楷體" w:hAnsi="Times New Roman" w:hint="eastAsia"/>
          <w:sz w:val="24"/>
          <w:szCs w:val="28"/>
          <w:lang w:eastAsia="zh-HK"/>
        </w:rPr>
        <w:t>以下簡稱研究中心</w:t>
      </w:r>
      <w:r w:rsidR="008C75F6" w:rsidRPr="002277D5">
        <w:rPr>
          <w:rFonts w:ascii="Times New Roman" w:eastAsia="標楷體" w:hAnsi="Times New Roman" w:hint="eastAsia"/>
          <w:sz w:val="24"/>
          <w:szCs w:val="28"/>
          <w:lang w:eastAsia="zh-HK"/>
        </w:rPr>
        <w:t>)</w:t>
      </w:r>
      <w:r w:rsidR="008C75F6" w:rsidRPr="002277D5">
        <w:rPr>
          <w:rFonts w:ascii="Times New Roman" w:eastAsia="標楷體" w:hAnsi="Times New Roman" w:hint="eastAsia"/>
          <w:sz w:val="24"/>
          <w:szCs w:val="28"/>
          <w:lang w:eastAsia="zh-HK"/>
        </w:rPr>
        <w:t>，提升本院研究中心之學術成果發表、對外爭取資源及學術活動交流量能，依據本校「研究中心設置管理與評鑑要點」第十點，特訂定本要點</w:t>
      </w:r>
      <w:r w:rsidRPr="002277D5">
        <w:rPr>
          <w:rFonts w:ascii="Times New Roman" w:eastAsia="標楷體" w:hAnsi="Times New Roman" w:hint="eastAsia"/>
          <w:sz w:val="24"/>
          <w:szCs w:val="28"/>
          <w:lang w:eastAsia="zh-HK"/>
        </w:rPr>
        <w:t>。</w:t>
      </w:r>
    </w:p>
    <w:p w:rsidR="000A65B5" w:rsidRPr="002277D5" w:rsidRDefault="009A1359" w:rsidP="009A1359">
      <w:pPr>
        <w:snapToGrid w:val="0"/>
        <w:spacing w:afterLines="50" w:after="180" w:line="240" w:lineRule="auto"/>
        <w:ind w:left="480" w:hangingChars="200" w:hanging="480"/>
        <w:jc w:val="both"/>
        <w:rPr>
          <w:rFonts w:ascii="Times New Roman" w:eastAsia="標楷體" w:hAnsi="Times New Roman"/>
          <w:sz w:val="24"/>
          <w:szCs w:val="28"/>
        </w:rPr>
      </w:pPr>
      <w:r w:rsidRPr="002277D5">
        <w:rPr>
          <w:rFonts w:ascii="Times New Roman" w:eastAsia="標楷體" w:hAnsi="Times New Roman" w:hint="eastAsia"/>
          <w:sz w:val="24"/>
          <w:szCs w:val="28"/>
        </w:rPr>
        <w:t>二</w:t>
      </w:r>
      <w:r w:rsidR="000A65B5" w:rsidRPr="002277D5">
        <w:rPr>
          <w:rFonts w:ascii="Times New Roman" w:eastAsia="標楷體" w:hAnsi="Times New Roman" w:hint="eastAsia"/>
          <w:sz w:val="24"/>
          <w:szCs w:val="28"/>
          <w:lang w:eastAsia="zh-HK"/>
        </w:rPr>
        <w:t>、本院設置之</w:t>
      </w:r>
      <w:r w:rsidR="009D7B55" w:rsidRPr="002277D5">
        <w:rPr>
          <w:rFonts w:ascii="Times New Roman" w:eastAsia="標楷體" w:hAnsi="Times New Roman" w:hint="eastAsia"/>
          <w:sz w:val="24"/>
          <w:szCs w:val="28"/>
          <w:lang w:eastAsia="zh-HK"/>
        </w:rPr>
        <w:t>任務編組三級</w:t>
      </w:r>
      <w:r w:rsidR="000A65B5" w:rsidRPr="002277D5">
        <w:rPr>
          <w:rFonts w:ascii="Times New Roman" w:eastAsia="標楷體" w:hAnsi="Times New Roman" w:hint="eastAsia"/>
          <w:sz w:val="24"/>
          <w:szCs w:val="28"/>
          <w:lang w:eastAsia="zh-HK"/>
        </w:rPr>
        <w:t>研究中心評鑑委員會</w:t>
      </w:r>
      <w:r w:rsidRPr="002277D5">
        <w:rPr>
          <w:rFonts w:ascii="Times New Roman" w:eastAsia="標楷體" w:hAnsi="Times New Roman" w:hint="eastAsia"/>
          <w:sz w:val="24"/>
          <w:szCs w:val="28"/>
        </w:rPr>
        <w:t>(</w:t>
      </w:r>
      <w:r w:rsidRPr="002277D5">
        <w:rPr>
          <w:rFonts w:ascii="Times New Roman" w:eastAsia="標楷體" w:hAnsi="Times New Roman" w:hint="eastAsia"/>
          <w:sz w:val="24"/>
          <w:szCs w:val="28"/>
        </w:rPr>
        <w:t>以下簡稱評鑑委員會</w:t>
      </w:r>
      <w:r w:rsidRPr="002277D5">
        <w:rPr>
          <w:rFonts w:ascii="Times New Roman" w:eastAsia="標楷體" w:hAnsi="Times New Roman" w:hint="eastAsia"/>
          <w:sz w:val="24"/>
          <w:szCs w:val="28"/>
        </w:rPr>
        <w:t>)</w:t>
      </w:r>
      <w:r w:rsidR="0071095D" w:rsidRPr="002277D5">
        <w:rPr>
          <w:rFonts w:ascii="標楷體" w:eastAsia="標楷體" w:hAnsi="標楷體" w:hint="eastAsia"/>
          <w:sz w:val="24"/>
          <w:szCs w:val="28"/>
          <w:lang w:eastAsia="zh-HK"/>
        </w:rPr>
        <w:t>，</w:t>
      </w:r>
      <w:r w:rsidR="000A65B5" w:rsidRPr="002277D5">
        <w:rPr>
          <w:rFonts w:ascii="Times New Roman" w:eastAsia="標楷體" w:hAnsi="Times New Roman" w:hint="eastAsia"/>
          <w:sz w:val="24"/>
          <w:szCs w:val="28"/>
          <w:lang w:eastAsia="zh-HK"/>
        </w:rPr>
        <w:t>委員成員包含</w:t>
      </w:r>
      <w:r w:rsidR="00D7163C" w:rsidRPr="002277D5">
        <w:rPr>
          <w:rFonts w:ascii="Times New Roman" w:eastAsia="標楷體" w:hAnsi="Times New Roman" w:hint="eastAsia"/>
          <w:sz w:val="24"/>
          <w:szCs w:val="28"/>
        </w:rPr>
        <w:t>院長</w:t>
      </w:r>
      <w:r w:rsidR="00935B02" w:rsidRPr="002277D5">
        <w:rPr>
          <w:rFonts w:ascii="標楷體" w:eastAsia="標楷體" w:hAnsi="標楷體" w:hint="eastAsia"/>
          <w:sz w:val="24"/>
          <w:szCs w:val="28"/>
        </w:rPr>
        <w:t>、</w:t>
      </w:r>
      <w:r w:rsidR="00935B02" w:rsidRPr="002277D5">
        <w:rPr>
          <w:rFonts w:ascii="Times New Roman" w:eastAsia="標楷體" w:hAnsi="Times New Roman" w:hint="eastAsia"/>
          <w:sz w:val="24"/>
          <w:szCs w:val="28"/>
        </w:rPr>
        <w:t>副院長</w:t>
      </w:r>
      <w:r w:rsidR="00D7163C" w:rsidRPr="002277D5">
        <w:rPr>
          <w:rFonts w:ascii="Times New Roman" w:eastAsia="標楷體" w:hAnsi="Times New Roman" w:hint="eastAsia"/>
          <w:sz w:val="24"/>
          <w:szCs w:val="28"/>
        </w:rPr>
        <w:t>及各系所主管</w:t>
      </w:r>
      <w:r w:rsidR="00D7163C" w:rsidRPr="002277D5">
        <w:rPr>
          <w:rFonts w:ascii="標楷體" w:eastAsia="標楷體" w:hAnsi="標楷體" w:hint="eastAsia"/>
          <w:sz w:val="24"/>
          <w:szCs w:val="28"/>
        </w:rPr>
        <w:t>，</w:t>
      </w:r>
      <w:r w:rsidRPr="002277D5">
        <w:rPr>
          <w:rFonts w:ascii="標楷體" w:eastAsia="標楷體" w:hAnsi="標楷體" w:hint="eastAsia"/>
          <w:sz w:val="24"/>
          <w:szCs w:val="28"/>
        </w:rPr>
        <w:t>必要時邀請院外委員一至二人之教師代表組成，</w:t>
      </w:r>
      <w:r w:rsidR="00D7163C" w:rsidRPr="002277D5">
        <w:rPr>
          <w:rFonts w:ascii="標楷體" w:eastAsia="標楷體" w:hAnsi="標楷體" w:hint="eastAsia"/>
          <w:sz w:val="24"/>
          <w:szCs w:val="28"/>
        </w:rPr>
        <w:t>由院長擔任召集人，會議召開出席人數應達全體委員三分之二(含)以上。</w:t>
      </w:r>
    </w:p>
    <w:p w:rsidR="000A65B5" w:rsidRPr="002277D5" w:rsidRDefault="0034348F" w:rsidP="007769F9">
      <w:pPr>
        <w:snapToGrid w:val="0"/>
        <w:spacing w:line="240" w:lineRule="auto"/>
        <w:ind w:left="485" w:hangingChars="202" w:hanging="485"/>
        <w:jc w:val="both"/>
        <w:rPr>
          <w:rFonts w:ascii="標楷體" w:eastAsia="標楷體" w:hAnsi="標楷體"/>
          <w:sz w:val="24"/>
          <w:szCs w:val="28"/>
          <w:lang w:eastAsia="zh-HK"/>
        </w:rPr>
      </w:pPr>
      <w:r w:rsidRPr="002277D5">
        <w:rPr>
          <w:rFonts w:ascii="Times New Roman" w:eastAsia="標楷體" w:hAnsi="Times New Roman" w:hint="eastAsia"/>
          <w:sz w:val="24"/>
          <w:szCs w:val="28"/>
        </w:rPr>
        <w:t>三</w:t>
      </w:r>
      <w:r w:rsidR="000A65B5" w:rsidRPr="002277D5">
        <w:rPr>
          <w:rFonts w:ascii="Times New Roman" w:eastAsia="標楷體" w:hAnsi="Times New Roman" w:hint="eastAsia"/>
          <w:sz w:val="24"/>
          <w:szCs w:val="28"/>
          <w:lang w:eastAsia="zh-HK"/>
        </w:rPr>
        <w:t>、</w:t>
      </w:r>
      <w:r w:rsidR="00843610" w:rsidRPr="002277D5">
        <w:rPr>
          <w:rFonts w:ascii="Times New Roman" w:eastAsia="標楷體" w:hAnsi="Times New Roman" w:hint="eastAsia"/>
          <w:sz w:val="24"/>
          <w:szCs w:val="28"/>
          <w:lang w:eastAsia="zh-HK"/>
        </w:rPr>
        <w:t>本院評鑑委員會訂於</w:t>
      </w:r>
      <w:r w:rsidR="00843610" w:rsidRPr="002277D5">
        <w:rPr>
          <w:rFonts w:ascii="Times New Roman" w:eastAsia="標楷體" w:hAnsi="Times New Roman" w:hint="eastAsia"/>
          <w:sz w:val="24"/>
          <w:szCs w:val="28"/>
          <w:lang w:eastAsia="zh-HK"/>
        </w:rPr>
        <w:t>1</w:t>
      </w:r>
      <w:r w:rsidR="00843610" w:rsidRPr="002277D5">
        <w:rPr>
          <w:rFonts w:ascii="Times New Roman" w:eastAsia="標楷體" w:hAnsi="Times New Roman" w:hint="eastAsia"/>
          <w:sz w:val="24"/>
          <w:szCs w:val="28"/>
        </w:rPr>
        <w:t>1</w:t>
      </w:r>
      <w:r w:rsidR="00843610" w:rsidRPr="002277D5">
        <w:rPr>
          <w:rFonts w:ascii="Times New Roman" w:eastAsia="標楷體" w:hAnsi="Times New Roman" w:hint="eastAsia"/>
          <w:sz w:val="24"/>
          <w:szCs w:val="28"/>
          <w:lang w:eastAsia="zh-HK"/>
        </w:rPr>
        <w:t>月召開。研究中心接受評鑑時，應提供前次受評鑑資料截止日至本次受評鑑之當年度</w:t>
      </w:r>
      <w:r w:rsidR="00843610" w:rsidRPr="002277D5">
        <w:rPr>
          <w:rFonts w:ascii="Times New Roman" w:eastAsia="標楷體" w:hAnsi="Times New Roman" w:hint="eastAsia"/>
          <w:sz w:val="24"/>
          <w:szCs w:val="28"/>
          <w:lang w:eastAsia="zh-HK"/>
        </w:rPr>
        <w:t>10</w:t>
      </w:r>
      <w:r w:rsidR="00843610" w:rsidRPr="002277D5">
        <w:rPr>
          <w:rFonts w:ascii="Times New Roman" w:eastAsia="標楷體" w:hAnsi="Times New Roman" w:hint="eastAsia"/>
          <w:sz w:val="24"/>
          <w:szCs w:val="28"/>
          <w:lang w:eastAsia="zh-HK"/>
        </w:rPr>
        <w:t>月</w:t>
      </w:r>
      <w:r w:rsidR="00843610" w:rsidRPr="002277D5">
        <w:rPr>
          <w:rFonts w:ascii="Times New Roman" w:eastAsia="標楷體" w:hAnsi="Times New Roman" w:hint="eastAsia"/>
          <w:sz w:val="24"/>
          <w:szCs w:val="28"/>
          <w:lang w:eastAsia="zh-HK"/>
        </w:rPr>
        <w:t>31</w:t>
      </w:r>
      <w:r w:rsidR="00843610" w:rsidRPr="002277D5">
        <w:rPr>
          <w:rFonts w:ascii="Times New Roman" w:eastAsia="標楷體" w:hAnsi="Times New Roman" w:hint="eastAsia"/>
          <w:sz w:val="24"/>
          <w:szCs w:val="28"/>
          <w:lang w:eastAsia="zh-HK"/>
        </w:rPr>
        <w:t>日止</w:t>
      </w:r>
      <w:r w:rsidR="00843610" w:rsidRPr="002277D5">
        <w:rPr>
          <w:rFonts w:ascii="標楷體" w:eastAsia="標楷體" w:hAnsi="標楷體" w:hint="eastAsia"/>
          <w:sz w:val="24"/>
          <w:szCs w:val="28"/>
          <w:lang w:eastAsia="zh-HK"/>
        </w:rPr>
        <w:t>，</w:t>
      </w:r>
      <w:r w:rsidR="00843610" w:rsidRPr="002277D5">
        <w:rPr>
          <w:rFonts w:ascii="Times New Roman" w:eastAsia="標楷體" w:hAnsi="Times New Roman" w:hint="eastAsia"/>
          <w:sz w:val="24"/>
          <w:szCs w:val="28"/>
          <w:lang w:eastAsia="zh-HK"/>
        </w:rPr>
        <w:t>以研究中心名義</w:t>
      </w:r>
      <w:r w:rsidR="00843610" w:rsidRPr="002277D5">
        <w:rPr>
          <w:rFonts w:ascii="Times New Roman" w:eastAsia="標楷體" w:hAnsi="Times New Roman" w:hint="eastAsia"/>
          <w:sz w:val="24"/>
          <w:szCs w:val="28"/>
        </w:rPr>
        <w:t>執行</w:t>
      </w:r>
      <w:r w:rsidR="00843610" w:rsidRPr="002277D5">
        <w:rPr>
          <w:rFonts w:ascii="Times New Roman" w:eastAsia="標楷體" w:hAnsi="Times New Roman" w:hint="eastAsia"/>
          <w:sz w:val="24"/>
          <w:szCs w:val="28"/>
          <w:lang w:eastAsia="zh-HK"/>
        </w:rPr>
        <w:t>並符合設置宗旨之研究或活動成果</w:t>
      </w:r>
      <w:r w:rsidR="00843610" w:rsidRPr="002277D5">
        <w:rPr>
          <w:rFonts w:ascii="標楷體" w:eastAsia="標楷體" w:hAnsi="標楷體" w:hint="eastAsia"/>
          <w:sz w:val="24"/>
          <w:szCs w:val="28"/>
          <w:lang w:eastAsia="zh-HK"/>
        </w:rPr>
        <w:t>：</w:t>
      </w:r>
    </w:p>
    <w:p w:rsidR="00925BCB" w:rsidRPr="002277D5" w:rsidRDefault="00925BCB" w:rsidP="00805D09">
      <w:pPr>
        <w:snapToGrid w:val="0"/>
        <w:spacing w:line="240" w:lineRule="auto"/>
        <w:ind w:leftChars="269" w:left="1045" w:hangingChars="200" w:hanging="480"/>
        <w:jc w:val="both"/>
        <w:rPr>
          <w:rFonts w:ascii="Times New Roman" w:eastAsia="標楷體" w:hAnsi="Times New Roman"/>
          <w:sz w:val="24"/>
          <w:szCs w:val="28"/>
        </w:rPr>
      </w:pPr>
      <w:r w:rsidRPr="002277D5">
        <w:rPr>
          <w:rFonts w:ascii="Times New Roman" w:eastAsia="標楷體" w:hAnsi="Times New Roman" w:hint="eastAsia"/>
          <w:sz w:val="24"/>
          <w:szCs w:val="28"/>
          <w:lang w:eastAsia="zh-HK"/>
        </w:rPr>
        <w:t>(</w:t>
      </w:r>
      <w:r w:rsidRPr="002277D5">
        <w:rPr>
          <w:rFonts w:ascii="Times New Roman" w:eastAsia="標楷體" w:hAnsi="Times New Roman" w:hint="eastAsia"/>
          <w:sz w:val="24"/>
          <w:szCs w:val="28"/>
          <w:lang w:eastAsia="zh-HK"/>
        </w:rPr>
        <w:t>一</w:t>
      </w:r>
      <w:r w:rsidRPr="002277D5">
        <w:rPr>
          <w:rFonts w:ascii="Times New Roman" w:eastAsia="標楷體" w:hAnsi="Times New Roman" w:hint="eastAsia"/>
          <w:sz w:val="24"/>
          <w:szCs w:val="28"/>
          <w:lang w:eastAsia="zh-HK"/>
        </w:rPr>
        <w:t>)</w:t>
      </w:r>
      <w:r w:rsidR="00805D09" w:rsidRPr="002277D5">
        <w:rPr>
          <w:rFonts w:ascii="標楷體" w:eastAsia="標楷體" w:hAnsi="標楷體" w:hint="eastAsia"/>
          <w:sz w:val="24"/>
          <w:szCs w:val="28"/>
          <w:lang w:eastAsia="zh-HK"/>
        </w:rPr>
        <w:t>、</w:t>
      </w:r>
      <w:r w:rsidRPr="002277D5">
        <w:rPr>
          <w:rFonts w:ascii="Times New Roman" w:eastAsia="標楷體" w:hAnsi="Times New Roman" w:hint="eastAsia"/>
          <w:sz w:val="24"/>
          <w:szCs w:val="28"/>
          <w:lang w:eastAsia="zh-HK"/>
        </w:rPr>
        <w:t>說明營運方向與設置宗旨之相符性，包括研究中心之人力配置</w:t>
      </w:r>
      <w:r w:rsidRPr="002277D5">
        <w:rPr>
          <w:rFonts w:ascii="Times New Roman" w:eastAsia="標楷體" w:hAnsi="Times New Roman" w:hint="eastAsia"/>
          <w:sz w:val="24"/>
          <w:szCs w:val="28"/>
          <w:lang w:eastAsia="zh-HK"/>
        </w:rPr>
        <w:t>(</w:t>
      </w:r>
      <w:r w:rsidRPr="002277D5">
        <w:rPr>
          <w:rFonts w:ascii="Times New Roman" w:eastAsia="標楷體" w:hAnsi="Times New Roman" w:hint="eastAsia"/>
          <w:sz w:val="24"/>
          <w:szCs w:val="28"/>
          <w:lang w:eastAsia="zh-HK"/>
        </w:rPr>
        <w:t>聘僱</w:t>
      </w:r>
      <w:r w:rsidRPr="002277D5">
        <w:rPr>
          <w:rFonts w:ascii="Times New Roman" w:eastAsia="標楷體" w:hAnsi="Times New Roman" w:hint="eastAsia"/>
          <w:sz w:val="24"/>
          <w:szCs w:val="28"/>
          <w:lang w:eastAsia="zh-HK"/>
        </w:rPr>
        <w:t>)</w:t>
      </w:r>
      <w:r w:rsidRPr="002277D5">
        <w:rPr>
          <w:rFonts w:ascii="Times New Roman" w:eastAsia="標楷體" w:hAnsi="Times New Roman" w:hint="eastAsia"/>
          <w:sz w:val="24"/>
          <w:szCs w:val="28"/>
          <w:lang w:eastAsia="zh-HK"/>
        </w:rPr>
        <w:t>、組織管理、評估於國內學術與產學之能量地位、具永續發展之營運模式。</w:t>
      </w:r>
    </w:p>
    <w:p w:rsidR="00925BCB" w:rsidRPr="002277D5" w:rsidRDefault="00925BCB" w:rsidP="00805D09">
      <w:pPr>
        <w:snapToGrid w:val="0"/>
        <w:spacing w:line="240" w:lineRule="auto"/>
        <w:ind w:leftChars="270" w:left="1167" w:hangingChars="250" w:hanging="600"/>
        <w:jc w:val="both"/>
        <w:rPr>
          <w:rFonts w:ascii="Times New Roman" w:eastAsia="標楷體" w:hAnsi="Times New Roman"/>
          <w:sz w:val="24"/>
          <w:szCs w:val="28"/>
        </w:rPr>
      </w:pPr>
      <w:r w:rsidRPr="002277D5">
        <w:rPr>
          <w:rFonts w:ascii="Times New Roman" w:eastAsia="標楷體" w:hAnsi="Times New Roman" w:hint="eastAsia"/>
          <w:sz w:val="24"/>
          <w:szCs w:val="28"/>
        </w:rPr>
        <w:t>(</w:t>
      </w:r>
      <w:r w:rsidRPr="002277D5">
        <w:rPr>
          <w:rFonts w:ascii="Times New Roman" w:eastAsia="標楷體" w:hAnsi="Times New Roman" w:hint="eastAsia"/>
          <w:sz w:val="24"/>
          <w:szCs w:val="28"/>
          <w:lang w:eastAsia="zh-HK"/>
        </w:rPr>
        <w:t>二</w:t>
      </w:r>
      <w:r w:rsidRPr="002277D5">
        <w:rPr>
          <w:rFonts w:ascii="Times New Roman" w:eastAsia="標楷體" w:hAnsi="Times New Roman" w:hint="eastAsia"/>
          <w:sz w:val="24"/>
          <w:szCs w:val="28"/>
          <w:lang w:eastAsia="zh-HK"/>
        </w:rPr>
        <w:t>)</w:t>
      </w:r>
      <w:r w:rsidR="00805D09" w:rsidRPr="002277D5">
        <w:rPr>
          <w:rFonts w:ascii="標楷體" w:eastAsia="標楷體" w:hAnsi="標楷體" w:hint="eastAsia"/>
          <w:sz w:val="24"/>
          <w:szCs w:val="28"/>
          <w:lang w:eastAsia="zh-HK"/>
        </w:rPr>
        <w:t>、</w:t>
      </w:r>
      <w:r w:rsidRPr="002277D5">
        <w:rPr>
          <w:rFonts w:ascii="Times New Roman" w:eastAsia="標楷體" w:hAnsi="Times New Roman" w:hint="eastAsia"/>
          <w:sz w:val="24"/>
          <w:szCs w:val="28"/>
        </w:rPr>
        <w:t>學術發表成果</w:t>
      </w:r>
      <w:r w:rsidRPr="002277D5">
        <w:rPr>
          <w:rFonts w:ascii="Times New Roman" w:eastAsia="標楷體" w:hAnsi="Times New Roman" w:hint="eastAsia"/>
          <w:sz w:val="24"/>
          <w:szCs w:val="28"/>
        </w:rPr>
        <w:t>(</w:t>
      </w:r>
      <w:r w:rsidRPr="002277D5">
        <w:rPr>
          <w:rFonts w:ascii="Times New Roman" w:eastAsia="標楷體" w:hAnsi="Times New Roman" w:hint="eastAsia"/>
          <w:sz w:val="24"/>
          <w:szCs w:val="28"/>
        </w:rPr>
        <w:t>含學術論文、著作</w:t>
      </w:r>
      <w:r w:rsidRPr="002277D5">
        <w:rPr>
          <w:rFonts w:ascii="Times New Roman" w:eastAsia="標楷體" w:hAnsi="Times New Roman" w:hint="eastAsia"/>
          <w:sz w:val="24"/>
          <w:szCs w:val="28"/>
        </w:rPr>
        <w:t>)</w:t>
      </w:r>
      <w:r w:rsidRPr="002277D5">
        <w:rPr>
          <w:rFonts w:ascii="Times New Roman" w:eastAsia="標楷體" w:hAnsi="Times New Roman" w:hint="eastAsia"/>
          <w:sz w:val="24"/>
          <w:szCs w:val="28"/>
        </w:rPr>
        <w:t>數目及其重要性。出版日期須在評鑑期間內始得認列。</w:t>
      </w:r>
    </w:p>
    <w:p w:rsidR="00925BCB" w:rsidRPr="002277D5" w:rsidRDefault="00925BCB" w:rsidP="00805D09">
      <w:pPr>
        <w:snapToGrid w:val="0"/>
        <w:spacing w:line="240" w:lineRule="auto"/>
        <w:ind w:leftChars="270" w:left="1167" w:hangingChars="250" w:hanging="600"/>
        <w:jc w:val="both"/>
        <w:rPr>
          <w:rFonts w:ascii="Times New Roman" w:eastAsia="標楷體" w:hAnsi="Times New Roman"/>
          <w:sz w:val="24"/>
          <w:szCs w:val="28"/>
        </w:rPr>
      </w:pPr>
      <w:r w:rsidRPr="002277D5">
        <w:rPr>
          <w:rFonts w:ascii="Times New Roman" w:eastAsia="標楷體" w:hAnsi="Times New Roman" w:hint="eastAsia"/>
          <w:sz w:val="24"/>
          <w:szCs w:val="28"/>
        </w:rPr>
        <w:t>(</w:t>
      </w:r>
      <w:r w:rsidRPr="002277D5">
        <w:rPr>
          <w:rFonts w:ascii="Times New Roman" w:eastAsia="標楷體" w:hAnsi="Times New Roman" w:hint="eastAsia"/>
          <w:sz w:val="24"/>
          <w:szCs w:val="28"/>
        </w:rPr>
        <w:t>三</w:t>
      </w:r>
      <w:r w:rsidRPr="002277D5">
        <w:rPr>
          <w:rFonts w:ascii="Times New Roman" w:eastAsia="標楷體" w:hAnsi="Times New Roman" w:hint="eastAsia"/>
          <w:sz w:val="24"/>
          <w:szCs w:val="28"/>
          <w:lang w:eastAsia="zh-HK"/>
        </w:rPr>
        <w:t>)</w:t>
      </w:r>
      <w:r w:rsidR="00805D09" w:rsidRPr="002277D5">
        <w:rPr>
          <w:rFonts w:ascii="標楷體" w:eastAsia="標楷體" w:hAnsi="標楷體" w:hint="eastAsia"/>
          <w:sz w:val="24"/>
          <w:szCs w:val="28"/>
          <w:lang w:eastAsia="zh-HK"/>
        </w:rPr>
        <w:t>、</w:t>
      </w:r>
      <w:r w:rsidRPr="002277D5">
        <w:rPr>
          <w:rFonts w:ascii="Times New Roman" w:eastAsia="標楷體" w:hAnsi="Times New Roman" w:hint="eastAsia"/>
          <w:sz w:val="24"/>
          <w:szCs w:val="28"/>
        </w:rPr>
        <w:t>對外爭取計畫之經費及成果。在評鑑期間與中山大學簽約執行之計畫始得認列。</w:t>
      </w:r>
    </w:p>
    <w:p w:rsidR="00925BCB" w:rsidRPr="002277D5" w:rsidRDefault="00925BCB" w:rsidP="00805D09">
      <w:pPr>
        <w:snapToGrid w:val="0"/>
        <w:spacing w:line="240" w:lineRule="auto"/>
        <w:ind w:leftChars="270" w:left="1167" w:hangingChars="250" w:hanging="600"/>
        <w:jc w:val="both"/>
        <w:rPr>
          <w:rFonts w:ascii="Times New Roman" w:eastAsia="標楷體" w:hAnsi="Times New Roman"/>
          <w:sz w:val="24"/>
          <w:szCs w:val="28"/>
          <w:lang w:eastAsia="zh-HK"/>
        </w:rPr>
      </w:pPr>
      <w:r w:rsidRPr="002277D5">
        <w:rPr>
          <w:rFonts w:ascii="Times New Roman" w:eastAsia="標楷體" w:hAnsi="Times New Roman" w:hint="eastAsia"/>
          <w:sz w:val="24"/>
          <w:szCs w:val="28"/>
        </w:rPr>
        <w:t>(</w:t>
      </w:r>
      <w:r w:rsidRPr="002277D5">
        <w:rPr>
          <w:rFonts w:ascii="Times New Roman" w:eastAsia="標楷體" w:hAnsi="Times New Roman" w:hint="eastAsia"/>
          <w:sz w:val="24"/>
          <w:szCs w:val="28"/>
        </w:rPr>
        <w:t>四</w:t>
      </w:r>
      <w:r w:rsidRPr="002277D5">
        <w:rPr>
          <w:rFonts w:ascii="Times New Roman" w:eastAsia="標楷體" w:hAnsi="Times New Roman" w:hint="eastAsia"/>
          <w:sz w:val="24"/>
          <w:szCs w:val="28"/>
        </w:rPr>
        <w:t>)</w:t>
      </w:r>
      <w:r w:rsidR="00805D09" w:rsidRPr="002277D5">
        <w:rPr>
          <w:rFonts w:ascii="標楷體" w:eastAsia="標楷體" w:hAnsi="標楷體" w:hint="eastAsia"/>
          <w:sz w:val="24"/>
          <w:szCs w:val="28"/>
        </w:rPr>
        <w:t>、</w:t>
      </w:r>
      <w:r w:rsidRPr="002277D5">
        <w:rPr>
          <w:rFonts w:ascii="Times New Roman" w:eastAsia="標楷體" w:hAnsi="Times New Roman" w:hint="eastAsia"/>
          <w:sz w:val="24"/>
          <w:szCs w:val="28"/>
          <w:lang w:eastAsia="zh-HK"/>
        </w:rPr>
        <w:t>學術活動交流（含自籌經費及學校支援）數目及其重要性。活動日期須在評鑑期間內始得認列。</w:t>
      </w:r>
    </w:p>
    <w:p w:rsidR="00925BCB" w:rsidRPr="002277D5" w:rsidRDefault="00925BCB" w:rsidP="00805D09">
      <w:pPr>
        <w:snapToGrid w:val="0"/>
        <w:spacing w:line="240" w:lineRule="auto"/>
        <w:ind w:leftChars="270" w:left="1167" w:hangingChars="250" w:hanging="600"/>
        <w:jc w:val="both"/>
        <w:rPr>
          <w:rFonts w:ascii="標楷體" w:eastAsia="標楷體" w:hAnsi="標楷體"/>
          <w:sz w:val="24"/>
          <w:szCs w:val="28"/>
        </w:rPr>
      </w:pPr>
      <w:r w:rsidRPr="002277D5">
        <w:rPr>
          <w:rFonts w:ascii="Times New Roman" w:eastAsia="標楷體" w:hAnsi="Times New Roman" w:hint="eastAsia"/>
          <w:sz w:val="24"/>
          <w:szCs w:val="28"/>
        </w:rPr>
        <w:t>(</w:t>
      </w:r>
      <w:r w:rsidRPr="002277D5">
        <w:rPr>
          <w:rFonts w:ascii="Times New Roman" w:eastAsia="標楷體" w:hAnsi="Times New Roman" w:hint="eastAsia"/>
          <w:sz w:val="24"/>
          <w:szCs w:val="28"/>
        </w:rPr>
        <w:t>五</w:t>
      </w:r>
      <w:r w:rsidRPr="002277D5">
        <w:rPr>
          <w:rFonts w:ascii="Times New Roman" w:eastAsia="標楷體" w:hAnsi="Times New Roman" w:hint="eastAsia"/>
          <w:sz w:val="24"/>
          <w:szCs w:val="28"/>
        </w:rPr>
        <w:t>)</w:t>
      </w:r>
      <w:r w:rsidR="00805D09" w:rsidRPr="002277D5">
        <w:rPr>
          <w:rFonts w:ascii="標楷體" w:eastAsia="標楷體" w:hAnsi="標楷體" w:hint="eastAsia"/>
          <w:sz w:val="24"/>
          <w:szCs w:val="28"/>
        </w:rPr>
        <w:t>、</w:t>
      </w:r>
      <w:r w:rsidRPr="002277D5">
        <w:rPr>
          <w:rFonts w:ascii="標楷體" w:eastAsia="標楷體" w:hAnsi="標楷體" w:hint="eastAsia"/>
          <w:sz w:val="24"/>
          <w:szCs w:val="28"/>
        </w:rPr>
        <w:t>經費收支明細，包含本校或相關院系所支援之人事、業務、水電、設備等費用，及使用之空間。</w:t>
      </w:r>
    </w:p>
    <w:p w:rsidR="00925BCB" w:rsidRPr="002277D5" w:rsidRDefault="00925BCB" w:rsidP="00925BCB">
      <w:pPr>
        <w:snapToGrid w:val="0"/>
        <w:spacing w:line="240" w:lineRule="auto"/>
        <w:ind w:leftChars="270" w:left="1167" w:hangingChars="250" w:hanging="600"/>
        <w:jc w:val="both"/>
        <w:rPr>
          <w:rFonts w:ascii="標楷體" w:eastAsia="標楷體" w:hAnsi="標楷體"/>
          <w:sz w:val="24"/>
          <w:szCs w:val="28"/>
        </w:rPr>
      </w:pPr>
      <w:r w:rsidRPr="002277D5">
        <w:rPr>
          <w:rFonts w:ascii="Times New Roman" w:eastAsia="標楷體" w:hAnsi="Times New Roman" w:hint="eastAsia"/>
          <w:sz w:val="24"/>
          <w:szCs w:val="28"/>
        </w:rPr>
        <w:t>(</w:t>
      </w:r>
      <w:r w:rsidRPr="002277D5">
        <w:rPr>
          <w:rFonts w:ascii="Times New Roman" w:eastAsia="標楷體" w:hAnsi="Times New Roman" w:hint="eastAsia"/>
          <w:sz w:val="24"/>
          <w:szCs w:val="28"/>
        </w:rPr>
        <w:t>六</w:t>
      </w:r>
      <w:r w:rsidRPr="002277D5">
        <w:rPr>
          <w:rFonts w:ascii="Times New Roman" w:eastAsia="標楷體" w:hAnsi="Times New Roman" w:hint="eastAsia"/>
          <w:sz w:val="24"/>
          <w:szCs w:val="28"/>
        </w:rPr>
        <w:t>)</w:t>
      </w:r>
      <w:r w:rsidR="00805D09" w:rsidRPr="002277D5">
        <w:rPr>
          <w:rFonts w:ascii="標楷體" w:eastAsia="標楷體" w:hAnsi="標楷體" w:hint="eastAsia"/>
          <w:sz w:val="24"/>
          <w:szCs w:val="28"/>
        </w:rPr>
        <w:t>、</w:t>
      </w:r>
      <w:r w:rsidRPr="002277D5">
        <w:rPr>
          <w:rFonts w:ascii="標楷體" w:eastAsia="標楷體" w:hAnsi="標楷體" w:hint="eastAsia"/>
          <w:sz w:val="24"/>
          <w:szCs w:val="28"/>
        </w:rPr>
        <w:t>其他足以彰顯研究中心亮點之項目。</w:t>
      </w:r>
    </w:p>
    <w:p w:rsidR="00925BCB" w:rsidRPr="002277D5" w:rsidRDefault="00925BCB" w:rsidP="00925BCB">
      <w:pPr>
        <w:snapToGrid w:val="0"/>
        <w:spacing w:line="240" w:lineRule="auto"/>
        <w:ind w:leftChars="270" w:left="1167" w:hangingChars="250" w:hanging="600"/>
        <w:jc w:val="both"/>
        <w:rPr>
          <w:rFonts w:ascii="Times New Roman" w:eastAsia="標楷體" w:hAnsi="Times New Roman"/>
          <w:sz w:val="24"/>
          <w:szCs w:val="28"/>
        </w:rPr>
      </w:pPr>
      <w:r w:rsidRPr="002277D5">
        <w:rPr>
          <w:rFonts w:ascii="Times New Roman" w:eastAsia="標楷體" w:hAnsi="Times New Roman" w:hint="eastAsia"/>
          <w:sz w:val="24"/>
          <w:szCs w:val="28"/>
        </w:rPr>
        <w:t>(</w:t>
      </w:r>
      <w:r w:rsidRPr="002277D5">
        <w:rPr>
          <w:rFonts w:ascii="Times New Roman" w:eastAsia="標楷體" w:hAnsi="Times New Roman" w:hint="eastAsia"/>
          <w:sz w:val="24"/>
          <w:szCs w:val="28"/>
        </w:rPr>
        <w:t>七</w:t>
      </w:r>
      <w:r w:rsidRPr="002277D5">
        <w:rPr>
          <w:rFonts w:ascii="Times New Roman" w:eastAsia="標楷體" w:hAnsi="Times New Roman" w:hint="eastAsia"/>
          <w:sz w:val="24"/>
          <w:szCs w:val="28"/>
        </w:rPr>
        <w:t>)</w:t>
      </w:r>
      <w:r w:rsidR="00805D09" w:rsidRPr="002277D5">
        <w:rPr>
          <w:rFonts w:ascii="標楷體" w:eastAsia="標楷體" w:hAnsi="標楷體" w:hint="eastAsia"/>
          <w:sz w:val="24"/>
          <w:szCs w:val="28"/>
        </w:rPr>
        <w:t>、</w:t>
      </w:r>
      <w:r w:rsidRPr="002277D5">
        <w:rPr>
          <w:rFonts w:ascii="Times New Roman" w:eastAsia="標楷體" w:hAnsi="Times New Roman" w:hint="eastAsia"/>
          <w:sz w:val="24"/>
          <w:szCs w:val="28"/>
        </w:rPr>
        <w:t>未來三年之展望。</w:t>
      </w:r>
    </w:p>
    <w:p w:rsidR="004B45E0" w:rsidRPr="002277D5" w:rsidRDefault="00925BCB" w:rsidP="00A71F5E">
      <w:pPr>
        <w:spacing w:after="0"/>
        <w:rPr>
          <w:rFonts w:ascii="Times New Roman" w:eastAsia="標楷體" w:hAnsi="Times New Roman"/>
          <w:sz w:val="24"/>
          <w:szCs w:val="28"/>
          <w:lang w:eastAsia="zh-HK"/>
        </w:rPr>
      </w:pPr>
      <w:r w:rsidRPr="002277D5">
        <w:rPr>
          <w:rFonts w:ascii="Times New Roman" w:eastAsia="標楷體" w:hAnsi="Times New Roman" w:hint="eastAsia"/>
          <w:sz w:val="24"/>
          <w:szCs w:val="28"/>
        </w:rPr>
        <w:t>四</w:t>
      </w:r>
      <w:r w:rsidR="004B45E0" w:rsidRPr="002277D5">
        <w:rPr>
          <w:rFonts w:ascii="Times New Roman" w:eastAsia="標楷體" w:hAnsi="Times New Roman" w:hint="eastAsia"/>
          <w:sz w:val="24"/>
          <w:szCs w:val="28"/>
          <w:lang w:eastAsia="zh-HK"/>
        </w:rPr>
        <w:t>、評鑑標準及結果</w:t>
      </w:r>
      <w:r w:rsidR="004B45E0" w:rsidRPr="002277D5">
        <w:rPr>
          <w:rFonts w:ascii="Times New Roman" w:eastAsia="標楷體" w:hAnsi="Times New Roman" w:hint="eastAsia"/>
          <w:sz w:val="24"/>
          <w:szCs w:val="28"/>
          <w:lang w:eastAsia="zh-HK"/>
        </w:rPr>
        <w:t>:</w:t>
      </w:r>
    </w:p>
    <w:p w:rsidR="004B45E0" w:rsidRPr="002277D5" w:rsidRDefault="004B45E0" w:rsidP="004B45E0">
      <w:pPr>
        <w:snapToGrid w:val="0"/>
        <w:spacing w:line="240" w:lineRule="auto"/>
        <w:rPr>
          <w:rFonts w:ascii="Times New Roman" w:eastAsia="標楷體" w:hAnsi="Times New Roman"/>
          <w:sz w:val="24"/>
          <w:szCs w:val="28"/>
          <w:lang w:eastAsia="zh-HK"/>
        </w:rPr>
      </w:pPr>
      <w:r w:rsidRPr="002277D5">
        <w:rPr>
          <w:rFonts w:ascii="Times New Roman" w:eastAsia="標楷體" w:hAnsi="Times New Roman" w:hint="eastAsia"/>
          <w:sz w:val="24"/>
          <w:szCs w:val="28"/>
        </w:rPr>
        <w:t xml:space="preserve">    </w:t>
      </w:r>
      <w:r w:rsidRPr="002277D5">
        <w:rPr>
          <w:rFonts w:ascii="Times New Roman" w:eastAsia="標楷體" w:hAnsi="Times New Roman" w:hint="eastAsia"/>
          <w:sz w:val="24"/>
          <w:szCs w:val="28"/>
          <w:lang w:eastAsia="zh-HK"/>
        </w:rPr>
        <w:t>(</w:t>
      </w:r>
      <w:r w:rsidRPr="002277D5">
        <w:rPr>
          <w:rFonts w:ascii="Times New Roman" w:eastAsia="標楷體" w:hAnsi="Times New Roman" w:hint="eastAsia"/>
          <w:sz w:val="24"/>
          <w:szCs w:val="28"/>
          <w:lang w:eastAsia="zh-HK"/>
        </w:rPr>
        <w:t>一</w:t>
      </w:r>
      <w:r w:rsidRPr="002277D5">
        <w:rPr>
          <w:rFonts w:ascii="Times New Roman" w:eastAsia="標楷體" w:hAnsi="Times New Roman" w:hint="eastAsia"/>
          <w:sz w:val="24"/>
          <w:szCs w:val="28"/>
          <w:lang w:eastAsia="zh-HK"/>
        </w:rPr>
        <w:t>)</w:t>
      </w:r>
      <w:r w:rsidR="005B2181" w:rsidRPr="002277D5">
        <w:rPr>
          <w:rFonts w:ascii="標楷體" w:eastAsia="標楷體" w:hAnsi="標楷體" w:hint="eastAsia"/>
          <w:sz w:val="24"/>
          <w:szCs w:val="28"/>
          <w:lang w:eastAsia="zh-HK"/>
        </w:rPr>
        <w:t>、</w:t>
      </w:r>
      <w:r w:rsidRPr="002277D5">
        <w:rPr>
          <w:rFonts w:ascii="Times New Roman" w:eastAsia="標楷體" w:hAnsi="Times New Roman" w:hint="eastAsia"/>
          <w:sz w:val="24"/>
          <w:szCs w:val="28"/>
          <w:lang w:eastAsia="zh-HK"/>
        </w:rPr>
        <w:t>評鑑總分及項目：</w:t>
      </w:r>
    </w:p>
    <w:p w:rsidR="004B45E0" w:rsidRPr="002277D5" w:rsidRDefault="007D12E6" w:rsidP="005B2181">
      <w:pPr>
        <w:snapToGrid w:val="0"/>
        <w:spacing w:line="240" w:lineRule="auto"/>
        <w:ind w:left="1080" w:hangingChars="450" w:hanging="1080"/>
        <w:jc w:val="both"/>
        <w:rPr>
          <w:rFonts w:ascii="Times New Roman" w:eastAsia="標楷體" w:hAnsi="Times New Roman"/>
          <w:sz w:val="24"/>
          <w:szCs w:val="28"/>
          <w:lang w:eastAsia="zh-HK"/>
        </w:rPr>
      </w:pPr>
      <w:r w:rsidRPr="002277D5">
        <w:rPr>
          <w:rFonts w:ascii="Times New Roman" w:eastAsia="標楷體" w:hAnsi="Times New Roman" w:hint="eastAsia"/>
          <w:sz w:val="24"/>
          <w:szCs w:val="28"/>
        </w:rPr>
        <w:lastRenderedPageBreak/>
        <w:t xml:space="preserve">       </w:t>
      </w:r>
      <w:r w:rsidR="005B2181" w:rsidRPr="002277D5">
        <w:rPr>
          <w:rFonts w:ascii="Times New Roman" w:eastAsia="標楷體" w:hAnsi="Times New Roman" w:hint="eastAsia"/>
          <w:sz w:val="24"/>
          <w:szCs w:val="28"/>
        </w:rPr>
        <w:t xml:space="preserve">  </w:t>
      </w:r>
      <w:r w:rsidR="004B45E0" w:rsidRPr="002277D5">
        <w:rPr>
          <w:rFonts w:ascii="Times New Roman" w:eastAsia="標楷體" w:hAnsi="Times New Roman" w:hint="eastAsia"/>
          <w:sz w:val="24"/>
          <w:szCs w:val="28"/>
          <w:lang w:eastAsia="zh-HK"/>
        </w:rPr>
        <w:t>評鑑總分</w:t>
      </w:r>
      <w:r w:rsidR="004B45E0" w:rsidRPr="002277D5">
        <w:rPr>
          <w:rFonts w:ascii="Times New Roman" w:eastAsia="標楷體" w:hAnsi="Times New Roman" w:hint="eastAsia"/>
          <w:sz w:val="24"/>
          <w:szCs w:val="28"/>
          <w:lang w:eastAsia="zh-HK"/>
        </w:rPr>
        <w:t>100</w:t>
      </w:r>
      <w:r w:rsidR="004B45E0" w:rsidRPr="002277D5">
        <w:rPr>
          <w:rFonts w:ascii="Times New Roman" w:eastAsia="標楷體" w:hAnsi="Times New Roman" w:hint="eastAsia"/>
          <w:sz w:val="24"/>
          <w:szCs w:val="28"/>
          <w:lang w:eastAsia="zh-HK"/>
        </w:rPr>
        <w:t>分，評鑑項目為對外爭取經費、學術發表成果、學術活動交流及其他足以彰顯中心價值項目。</w:t>
      </w:r>
      <w:r w:rsidR="00607E63" w:rsidRPr="002277D5">
        <w:rPr>
          <w:rFonts w:ascii="Times New Roman" w:eastAsia="標楷體" w:hAnsi="Times New Roman" w:hint="eastAsia"/>
          <w:sz w:val="24"/>
          <w:szCs w:val="28"/>
          <w:lang w:eastAsia="zh-HK"/>
        </w:rPr>
        <w:t>其中對外爭取經費分數不得為零。</w:t>
      </w:r>
    </w:p>
    <w:p w:rsidR="004B45E0" w:rsidRPr="002277D5" w:rsidRDefault="004B45E0" w:rsidP="004B45E0">
      <w:pPr>
        <w:spacing w:beforeLines="50" w:before="180" w:after="119" w:line="259" w:lineRule="auto"/>
        <w:jc w:val="both"/>
        <w:rPr>
          <w:rFonts w:ascii="Times New Roman" w:eastAsia="標楷體" w:hAnsi="Times New Roman" w:cs="Times New Roman"/>
          <w:iCs w:val="0"/>
          <w:kern w:val="2"/>
          <w:sz w:val="22"/>
          <w:szCs w:val="24"/>
        </w:rPr>
      </w:pPr>
      <w:r w:rsidRPr="002277D5">
        <w:rPr>
          <w:rFonts w:ascii="Times New Roman" w:eastAsia="標楷體" w:hAnsi="Times New Roman" w:hint="eastAsia"/>
          <w:sz w:val="24"/>
          <w:szCs w:val="28"/>
        </w:rPr>
        <w:t xml:space="preserve">    </w:t>
      </w:r>
      <w:r w:rsidRPr="002277D5">
        <w:rPr>
          <w:rFonts w:ascii="Times New Roman" w:eastAsia="標楷體" w:hAnsi="Times New Roman" w:hint="eastAsia"/>
          <w:sz w:val="24"/>
          <w:szCs w:val="28"/>
          <w:lang w:eastAsia="zh-HK"/>
        </w:rPr>
        <w:t>(</w:t>
      </w:r>
      <w:r w:rsidRPr="002277D5">
        <w:rPr>
          <w:rFonts w:ascii="Times New Roman" w:eastAsia="標楷體" w:hAnsi="Times New Roman" w:hint="eastAsia"/>
          <w:sz w:val="24"/>
          <w:szCs w:val="28"/>
        </w:rPr>
        <w:t>二</w:t>
      </w:r>
      <w:r w:rsidRPr="002277D5">
        <w:rPr>
          <w:rFonts w:ascii="Times New Roman" w:eastAsia="標楷體" w:hAnsi="Times New Roman" w:hint="eastAsia"/>
          <w:sz w:val="24"/>
          <w:szCs w:val="28"/>
          <w:lang w:eastAsia="zh-HK"/>
        </w:rPr>
        <w:t>)</w:t>
      </w:r>
      <w:r w:rsidR="009B3DEC" w:rsidRPr="002277D5">
        <w:rPr>
          <w:rFonts w:ascii="標楷體" w:eastAsia="標楷體" w:hAnsi="標楷體" w:hint="eastAsia"/>
          <w:sz w:val="24"/>
          <w:szCs w:val="28"/>
          <w:lang w:eastAsia="zh-HK"/>
        </w:rPr>
        <w:t>、</w:t>
      </w:r>
      <w:r w:rsidRPr="002277D5">
        <w:rPr>
          <w:rFonts w:ascii="Times New Roman" w:eastAsia="標楷體" w:hAnsi="Times New Roman" w:cs="Times New Roman"/>
          <w:iCs w:val="0"/>
          <w:kern w:val="2"/>
          <w:sz w:val="24"/>
          <w:szCs w:val="28"/>
        </w:rPr>
        <w:t>評鑑項目計分</w:t>
      </w:r>
      <w:r w:rsidRPr="002277D5">
        <w:rPr>
          <w:rFonts w:ascii="Times New Roman" w:eastAsia="標楷體" w:hAnsi="Times New Roman" w:cs="Times New Roman"/>
          <w:iCs w:val="0"/>
          <w:kern w:val="2"/>
          <w:sz w:val="24"/>
          <w:szCs w:val="28"/>
        </w:rPr>
        <w:t>:</w:t>
      </w:r>
    </w:p>
    <w:p w:rsidR="00E325EA" w:rsidRPr="002277D5" w:rsidRDefault="007D12E6" w:rsidP="007D12E6">
      <w:pPr>
        <w:snapToGrid w:val="0"/>
        <w:spacing w:beforeLines="50" w:before="180" w:after="0" w:line="240" w:lineRule="auto"/>
        <w:ind w:left="840" w:hangingChars="350" w:hanging="840"/>
        <w:jc w:val="both"/>
        <w:rPr>
          <w:rFonts w:ascii="Times New Roman" w:eastAsia="標楷體" w:hAnsi="Times New Roman" w:cs="Times New Roman"/>
          <w:iCs w:val="0"/>
          <w:kern w:val="2"/>
          <w:sz w:val="24"/>
          <w:szCs w:val="24"/>
        </w:rPr>
      </w:pPr>
      <w:r w:rsidRPr="002277D5">
        <w:rPr>
          <w:rFonts w:ascii="Times New Roman" w:eastAsia="標楷體" w:hAnsi="Times New Roman" w:cs="Times New Roman" w:hint="eastAsia"/>
          <w:iCs w:val="0"/>
          <w:kern w:val="2"/>
          <w:sz w:val="24"/>
          <w:szCs w:val="24"/>
        </w:rPr>
        <w:t xml:space="preserve">       </w:t>
      </w:r>
      <w:r w:rsidR="009B3DEC" w:rsidRPr="002277D5">
        <w:rPr>
          <w:rFonts w:ascii="Times New Roman" w:eastAsia="標楷體" w:hAnsi="Times New Roman" w:cs="Times New Roman" w:hint="eastAsia"/>
          <w:iCs w:val="0"/>
          <w:kern w:val="2"/>
          <w:sz w:val="24"/>
          <w:szCs w:val="24"/>
        </w:rPr>
        <w:t xml:space="preserve">   </w:t>
      </w:r>
      <w:r w:rsidR="004B45E0" w:rsidRPr="002277D5">
        <w:rPr>
          <w:rFonts w:ascii="Times New Roman" w:eastAsia="標楷體" w:hAnsi="Times New Roman" w:cs="Times New Roman" w:hint="eastAsia"/>
          <w:iCs w:val="0"/>
          <w:kern w:val="2"/>
          <w:sz w:val="24"/>
          <w:szCs w:val="24"/>
        </w:rPr>
        <w:t>1</w:t>
      </w:r>
      <w:r w:rsidR="004B45E0" w:rsidRPr="002277D5">
        <w:rPr>
          <w:rFonts w:ascii="標楷體" w:eastAsia="標楷體" w:hAnsi="標楷體" w:cs="Times New Roman" w:hint="eastAsia"/>
          <w:iCs w:val="0"/>
          <w:kern w:val="2"/>
          <w:sz w:val="24"/>
          <w:szCs w:val="24"/>
        </w:rPr>
        <w:t>、</w:t>
      </w:r>
      <w:r w:rsidR="004B45E0" w:rsidRPr="002277D5">
        <w:rPr>
          <w:rFonts w:ascii="Times New Roman" w:eastAsia="標楷體" w:hAnsi="Times New Roman" w:cs="Times New Roman"/>
          <w:iCs w:val="0"/>
          <w:kern w:val="2"/>
          <w:sz w:val="24"/>
          <w:szCs w:val="24"/>
        </w:rPr>
        <w:t>對外爭取經費</w:t>
      </w:r>
      <w:r w:rsidR="004B45E0" w:rsidRPr="002277D5">
        <w:rPr>
          <w:rFonts w:ascii="Times New Roman" w:eastAsia="標楷體" w:hAnsi="Times New Roman" w:cs="Times New Roman"/>
          <w:iCs w:val="0"/>
          <w:kern w:val="2"/>
          <w:sz w:val="24"/>
          <w:szCs w:val="24"/>
        </w:rPr>
        <w:t>:</w:t>
      </w:r>
    </w:p>
    <w:p w:rsidR="004B45E0" w:rsidRPr="002277D5" w:rsidRDefault="002D1E38" w:rsidP="009B3DEC">
      <w:pPr>
        <w:snapToGrid w:val="0"/>
        <w:spacing w:after="119" w:line="240" w:lineRule="auto"/>
        <w:ind w:left="1560" w:hangingChars="650" w:hanging="1560"/>
        <w:jc w:val="both"/>
        <w:rPr>
          <w:rFonts w:ascii="Times New Roman" w:eastAsia="標楷體" w:hAnsi="Times New Roman" w:cs="Times New Roman"/>
          <w:iCs w:val="0"/>
          <w:kern w:val="2"/>
          <w:sz w:val="24"/>
          <w:szCs w:val="24"/>
        </w:rPr>
      </w:pPr>
      <w:r w:rsidRPr="002277D5">
        <w:rPr>
          <w:rFonts w:ascii="Times New Roman" w:eastAsia="標楷體" w:hAnsi="Times New Roman" w:cs="Times New Roman" w:hint="eastAsia"/>
          <w:iCs w:val="0"/>
          <w:kern w:val="2"/>
          <w:sz w:val="24"/>
          <w:szCs w:val="24"/>
        </w:rPr>
        <w:t xml:space="preserve">          </w:t>
      </w:r>
      <w:r w:rsidR="009B3DEC" w:rsidRPr="002277D5">
        <w:rPr>
          <w:rFonts w:ascii="Times New Roman" w:eastAsia="標楷體" w:hAnsi="Times New Roman" w:cs="Times New Roman" w:hint="eastAsia"/>
          <w:iCs w:val="0"/>
          <w:kern w:val="2"/>
          <w:sz w:val="24"/>
          <w:szCs w:val="24"/>
        </w:rPr>
        <w:t xml:space="preserve">   </w:t>
      </w:r>
      <w:r w:rsidR="004B45E0" w:rsidRPr="002277D5">
        <w:rPr>
          <w:rFonts w:ascii="Times New Roman" w:eastAsia="標楷體" w:hAnsi="Times New Roman" w:cs="Times New Roman"/>
          <w:iCs w:val="0"/>
          <w:kern w:val="2"/>
          <w:sz w:val="24"/>
          <w:szCs w:val="24"/>
        </w:rPr>
        <w:t>來源包含產學計畫</w:t>
      </w:r>
      <w:r w:rsidR="004B45E0" w:rsidRPr="002277D5">
        <w:rPr>
          <w:rFonts w:ascii="Times New Roman" w:eastAsia="標楷體" w:hAnsi="Times New Roman" w:cs="Times New Roman"/>
          <w:iCs w:val="0"/>
          <w:kern w:val="2"/>
          <w:sz w:val="24"/>
          <w:szCs w:val="24"/>
        </w:rPr>
        <w:t>(</w:t>
      </w:r>
      <w:r w:rsidR="004B45E0" w:rsidRPr="002277D5">
        <w:rPr>
          <w:rFonts w:ascii="Times New Roman" w:eastAsia="標楷體" w:hAnsi="Times New Roman" w:cs="Times New Roman"/>
          <w:iCs w:val="0"/>
          <w:kern w:val="2"/>
          <w:sz w:val="24"/>
          <w:szCs w:val="24"/>
        </w:rPr>
        <w:t>含各部會計畫</w:t>
      </w:r>
      <w:r w:rsidR="004B45E0" w:rsidRPr="002277D5">
        <w:rPr>
          <w:rFonts w:ascii="Times New Roman" w:eastAsia="標楷體" w:hAnsi="Times New Roman" w:cs="Times New Roman"/>
          <w:iCs w:val="0"/>
          <w:kern w:val="2"/>
          <w:sz w:val="24"/>
          <w:szCs w:val="24"/>
        </w:rPr>
        <w:t>)</w:t>
      </w:r>
      <w:r w:rsidR="004B45E0" w:rsidRPr="002277D5">
        <w:rPr>
          <w:rFonts w:ascii="Times New Roman" w:eastAsia="標楷體" w:hAnsi="Times New Roman" w:cs="Times New Roman"/>
          <w:iCs w:val="0"/>
          <w:kern w:val="2"/>
          <w:sz w:val="24"/>
          <w:szCs w:val="24"/>
        </w:rPr>
        <w:t>、</w:t>
      </w:r>
      <w:r w:rsidR="003D2EA9" w:rsidRPr="002277D5">
        <w:rPr>
          <w:rFonts w:ascii="標楷體" w:eastAsia="標楷體" w:hAnsi="標楷體" w:cs="Times New Roman" w:hint="eastAsia"/>
          <w:iCs w:val="0"/>
          <w:sz w:val="24"/>
          <w:szCs w:val="24"/>
        </w:rPr>
        <w:t>國家科學及技術委員會</w:t>
      </w:r>
      <w:r w:rsidR="003D2EA9" w:rsidRPr="002277D5">
        <w:rPr>
          <w:rFonts w:ascii="Times New Roman" w:eastAsia="標楷體" w:hAnsi="Times New Roman" w:cs="Times New Roman"/>
          <w:iCs w:val="0"/>
          <w:sz w:val="24"/>
          <w:szCs w:val="24"/>
        </w:rPr>
        <w:t>整合型計畫及捐贈款</w:t>
      </w:r>
      <w:bookmarkStart w:id="0" w:name="_GoBack"/>
      <w:bookmarkEnd w:id="0"/>
      <w:r w:rsidR="00E0381B" w:rsidRPr="002277D5">
        <w:rPr>
          <w:rFonts w:ascii="標楷體" w:eastAsia="標楷體" w:hAnsi="標楷體" w:cs="Times New Roman" w:hint="eastAsia"/>
          <w:iCs w:val="0"/>
          <w:kern w:val="2"/>
          <w:sz w:val="24"/>
          <w:szCs w:val="24"/>
        </w:rPr>
        <w:t>；</w:t>
      </w:r>
      <w:r w:rsidR="004B45E0" w:rsidRPr="002277D5">
        <w:rPr>
          <w:rFonts w:ascii="Times New Roman" w:eastAsia="標楷體" w:hAnsi="Times New Roman" w:cs="Times New Roman"/>
          <w:iCs w:val="0"/>
          <w:kern w:val="2"/>
          <w:sz w:val="24"/>
          <w:szCs w:val="24"/>
        </w:rPr>
        <w:t>以</w:t>
      </w:r>
      <w:r w:rsidR="004B45E0" w:rsidRPr="002277D5">
        <w:rPr>
          <w:rFonts w:ascii="Times New Roman" w:eastAsia="標楷體" w:hAnsi="Times New Roman" w:cs="Times New Roman"/>
          <w:iCs w:val="0"/>
          <w:kern w:val="2"/>
          <w:sz w:val="24"/>
          <w:szCs w:val="24"/>
        </w:rPr>
        <w:t>20</w:t>
      </w:r>
      <w:r w:rsidR="004B45E0" w:rsidRPr="002277D5">
        <w:rPr>
          <w:rFonts w:ascii="Times New Roman" w:eastAsia="標楷體" w:hAnsi="Times New Roman" w:cs="Times New Roman"/>
          <w:iCs w:val="0"/>
          <w:kern w:val="2"/>
          <w:sz w:val="24"/>
          <w:szCs w:val="24"/>
        </w:rPr>
        <w:t>萬元為一計分單位，不足</w:t>
      </w:r>
      <w:r w:rsidR="004B45E0" w:rsidRPr="002277D5">
        <w:rPr>
          <w:rFonts w:ascii="Times New Roman" w:eastAsia="標楷體" w:hAnsi="Times New Roman" w:cs="Times New Roman"/>
          <w:iCs w:val="0"/>
          <w:kern w:val="2"/>
          <w:sz w:val="24"/>
          <w:szCs w:val="24"/>
        </w:rPr>
        <w:t>20</w:t>
      </w:r>
      <w:r w:rsidR="004B45E0" w:rsidRPr="002277D5">
        <w:rPr>
          <w:rFonts w:ascii="Times New Roman" w:eastAsia="標楷體" w:hAnsi="Times New Roman" w:cs="Times New Roman"/>
          <w:iCs w:val="0"/>
          <w:kern w:val="2"/>
          <w:sz w:val="24"/>
          <w:szCs w:val="24"/>
        </w:rPr>
        <w:t>萬元者不予計分，依經費來源分項計算後，再加總計分。</w:t>
      </w:r>
    </w:p>
    <w:tbl>
      <w:tblPr>
        <w:tblStyle w:val="afa"/>
        <w:tblW w:w="0" w:type="auto"/>
        <w:tblInd w:w="675" w:type="dxa"/>
        <w:tblLook w:val="04A0" w:firstRow="1" w:lastRow="0" w:firstColumn="1" w:lastColumn="0" w:noHBand="0" w:noVBand="1"/>
      </w:tblPr>
      <w:tblGrid>
        <w:gridCol w:w="3586"/>
        <w:gridCol w:w="4041"/>
      </w:tblGrid>
      <w:tr w:rsidR="00701AEC" w:rsidRPr="002277D5" w:rsidTr="00A73922">
        <w:trPr>
          <w:trHeight w:val="263"/>
        </w:trPr>
        <w:tc>
          <w:tcPr>
            <w:tcW w:w="3586" w:type="dxa"/>
          </w:tcPr>
          <w:p w:rsidR="004B45E0" w:rsidRPr="002277D5" w:rsidRDefault="004B45E0" w:rsidP="004B45E0">
            <w:pPr>
              <w:snapToGrid w:val="0"/>
              <w:spacing w:beforeLines="50" w:before="180" w:after="119"/>
              <w:jc w:val="both"/>
              <w:rPr>
                <w:rFonts w:ascii="Times New Roman" w:eastAsia="標楷體" w:hAnsi="Times New Roman" w:cs="Times New Roman"/>
                <w:iCs w:val="0"/>
                <w:sz w:val="24"/>
                <w:szCs w:val="24"/>
              </w:rPr>
            </w:pPr>
            <w:r w:rsidRPr="002277D5">
              <w:rPr>
                <w:rFonts w:ascii="Times New Roman" w:eastAsia="標楷體" w:hAnsi="Times New Roman" w:cs="Times New Roman"/>
                <w:iCs w:val="0"/>
                <w:sz w:val="24"/>
                <w:szCs w:val="24"/>
              </w:rPr>
              <w:t>經費來源</w:t>
            </w:r>
          </w:p>
        </w:tc>
        <w:tc>
          <w:tcPr>
            <w:tcW w:w="4041" w:type="dxa"/>
          </w:tcPr>
          <w:p w:rsidR="004B45E0" w:rsidRPr="002277D5" w:rsidRDefault="004B45E0" w:rsidP="004B45E0">
            <w:pPr>
              <w:snapToGrid w:val="0"/>
              <w:spacing w:beforeLines="50" w:before="180" w:after="119"/>
              <w:jc w:val="both"/>
              <w:rPr>
                <w:rFonts w:ascii="Times New Roman" w:eastAsia="標楷體" w:hAnsi="Times New Roman" w:cs="Times New Roman"/>
                <w:iCs w:val="0"/>
                <w:sz w:val="24"/>
                <w:szCs w:val="24"/>
              </w:rPr>
            </w:pPr>
            <w:r w:rsidRPr="002277D5">
              <w:rPr>
                <w:rFonts w:ascii="Times New Roman" w:eastAsia="標楷體" w:hAnsi="Times New Roman" w:cs="Times New Roman"/>
                <w:iCs w:val="0"/>
                <w:sz w:val="24"/>
                <w:szCs w:val="24"/>
              </w:rPr>
              <w:t>計</w:t>
            </w:r>
            <w:r w:rsidR="008133EE" w:rsidRPr="002277D5">
              <w:rPr>
                <w:rFonts w:ascii="Times New Roman" w:eastAsia="標楷體" w:hAnsi="Times New Roman" w:cs="Times New Roman" w:hint="eastAsia"/>
                <w:iCs w:val="0"/>
                <w:sz w:val="24"/>
                <w:szCs w:val="24"/>
              </w:rPr>
              <w:t>分</w:t>
            </w:r>
            <w:r w:rsidRPr="002277D5">
              <w:rPr>
                <w:rFonts w:ascii="Times New Roman" w:eastAsia="標楷體" w:hAnsi="Times New Roman" w:cs="Times New Roman"/>
                <w:iCs w:val="0"/>
                <w:sz w:val="24"/>
                <w:szCs w:val="24"/>
              </w:rPr>
              <w:t>方式</w:t>
            </w:r>
          </w:p>
        </w:tc>
      </w:tr>
      <w:tr w:rsidR="00701AEC" w:rsidRPr="002277D5" w:rsidTr="00A73922">
        <w:tc>
          <w:tcPr>
            <w:tcW w:w="3586" w:type="dxa"/>
            <w:vAlign w:val="center"/>
          </w:tcPr>
          <w:p w:rsidR="004B45E0" w:rsidRPr="002277D5" w:rsidRDefault="004B45E0" w:rsidP="007B2B3F">
            <w:pPr>
              <w:snapToGrid w:val="0"/>
              <w:spacing w:beforeLines="50" w:before="180" w:after="119"/>
              <w:jc w:val="both"/>
              <w:rPr>
                <w:rFonts w:ascii="Times New Roman" w:eastAsia="標楷體" w:hAnsi="Times New Roman" w:cs="Times New Roman"/>
                <w:iCs w:val="0"/>
                <w:sz w:val="24"/>
                <w:szCs w:val="24"/>
              </w:rPr>
            </w:pPr>
            <w:r w:rsidRPr="002277D5">
              <w:rPr>
                <w:rFonts w:ascii="Times New Roman" w:eastAsia="標楷體" w:hAnsi="Times New Roman" w:cs="Times New Roman"/>
                <w:iCs w:val="0"/>
                <w:sz w:val="24"/>
                <w:szCs w:val="24"/>
              </w:rPr>
              <w:t>產學計畫</w:t>
            </w:r>
            <w:r w:rsidRPr="002277D5">
              <w:rPr>
                <w:rFonts w:ascii="Times New Roman" w:eastAsia="標楷體" w:hAnsi="Times New Roman" w:cs="Times New Roman"/>
                <w:iCs w:val="0"/>
                <w:sz w:val="24"/>
                <w:szCs w:val="24"/>
              </w:rPr>
              <w:t>(</w:t>
            </w:r>
            <w:r w:rsidRPr="002277D5">
              <w:rPr>
                <w:rFonts w:ascii="Times New Roman" w:eastAsia="標楷體" w:hAnsi="Times New Roman" w:cs="Times New Roman"/>
                <w:iCs w:val="0"/>
                <w:sz w:val="24"/>
                <w:szCs w:val="24"/>
              </w:rPr>
              <w:t>含各部會計畫</w:t>
            </w:r>
            <w:r w:rsidRPr="002277D5">
              <w:rPr>
                <w:rFonts w:ascii="Times New Roman" w:eastAsia="標楷體" w:hAnsi="Times New Roman" w:cs="Times New Roman"/>
                <w:iCs w:val="0"/>
                <w:sz w:val="24"/>
                <w:szCs w:val="24"/>
              </w:rPr>
              <w:t>)</w:t>
            </w:r>
            <w:r w:rsidR="00A73922" w:rsidRPr="002277D5">
              <w:rPr>
                <w:rFonts w:ascii="標楷體" w:eastAsia="標楷體" w:hAnsi="標楷體" w:cs="Times New Roman" w:hint="eastAsia"/>
                <w:iCs w:val="0"/>
                <w:sz w:val="24"/>
                <w:szCs w:val="24"/>
              </w:rPr>
              <w:t>、</w:t>
            </w:r>
            <w:r w:rsidR="007B2B3F" w:rsidRPr="002277D5">
              <w:rPr>
                <w:rFonts w:ascii="標楷體" w:eastAsia="標楷體" w:hAnsi="標楷體" w:cs="Times New Roman" w:hint="eastAsia"/>
                <w:iCs w:val="0"/>
                <w:sz w:val="24"/>
                <w:szCs w:val="24"/>
              </w:rPr>
              <w:t>國家科學及技術委員會</w:t>
            </w:r>
            <w:r w:rsidR="00A73922" w:rsidRPr="002277D5">
              <w:rPr>
                <w:rFonts w:ascii="Times New Roman" w:eastAsia="標楷體" w:hAnsi="Times New Roman" w:cs="Times New Roman"/>
                <w:iCs w:val="0"/>
                <w:sz w:val="24"/>
                <w:szCs w:val="24"/>
              </w:rPr>
              <w:t>整合型計畫及捐贈款</w:t>
            </w:r>
          </w:p>
        </w:tc>
        <w:tc>
          <w:tcPr>
            <w:tcW w:w="4041" w:type="dxa"/>
          </w:tcPr>
          <w:p w:rsidR="004B45E0" w:rsidRPr="002277D5" w:rsidRDefault="004B45E0" w:rsidP="00A73922">
            <w:pPr>
              <w:snapToGrid w:val="0"/>
              <w:spacing w:beforeLines="50" w:before="180" w:after="119"/>
              <w:jc w:val="both"/>
              <w:rPr>
                <w:rFonts w:ascii="Times New Roman" w:eastAsia="標楷體" w:hAnsi="Times New Roman" w:cs="Times New Roman"/>
                <w:iCs w:val="0"/>
                <w:sz w:val="24"/>
                <w:szCs w:val="24"/>
              </w:rPr>
            </w:pPr>
            <w:r w:rsidRPr="002277D5">
              <w:rPr>
                <w:rFonts w:ascii="Times New Roman" w:eastAsia="標楷體" w:hAnsi="Times New Roman" w:cs="Times New Roman"/>
                <w:iCs w:val="0"/>
                <w:sz w:val="24"/>
                <w:szCs w:val="24"/>
              </w:rPr>
              <w:t>每</w:t>
            </w:r>
            <w:r w:rsidRPr="002277D5">
              <w:rPr>
                <w:rFonts w:ascii="Times New Roman" w:eastAsia="標楷體" w:hAnsi="Times New Roman" w:cs="Times New Roman"/>
                <w:iCs w:val="0"/>
                <w:sz w:val="24"/>
                <w:szCs w:val="24"/>
              </w:rPr>
              <w:t>20</w:t>
            </w:r>
            <w:r w:rsidRPr="002277D5">
              <w:rPr>
                <w:rFonts w:ascii="Times New Roman" w:eastAsia="標楷體" w:hAnsi="Times New Roman" w:cs="Times New Roman"/>
                <w:iCs w:val="0"/>
                <w:sz w:val="24"/>
                <w:szCs w:val="24"/>
              </w:rPr>
              <w:t>萬元</w:t>
            </w:r>
            <w:r w:rsidR="000A54E6" w:rsidRPr="002277D5">
              <w:rPr>
                <w:rFonts w:ascii="Times New Roman" w:eastAsia="標楷體" w:hAnsi="Times New Roman" w:cs="Times New Roman" w:hint="eastAsia"/>
                <w:iCs w:val="0"/>
                <w:sz w:val="24"/>
                <w:szCs w:val="24"/>
              </w:rPr>
              <w:t>3</w:t>
            </w:r>
            <w:r w:rsidRPr="002277D5">
              <w:rPr>
                <w:rFonts w:ascii="Times New Roman" w:eastAsia="標楷體" w:hAnsi="Times New Roman" w:cs="Times New Roman"/>
                <w:iCs w:val="0"/>
                <w:sz w:val="24"/>
                <w:szCs w:val="24"/>
              </w:rPr>
              <w:t>分。</w:t>
            </w:r>
          </w:p>
        </w:tc>
      </w:tr>
    </w:tbl>
    <w:p w:rsidR="00E325EA" w:rsidRPr="002277D5" w:rsidRDefault="002D1E38" w:rsidP="00E325EA">
      <w:pPr>
        <w:snapToGrid w:val="0"/>
        <w:spacing w:beforeLines="50" w:before="180" w:after="0" w:line="240" w:lineRule="auto"/>
        <w:ind w:left="1560" w:hangingChars="650" w:hanging="1560"/>
        <w:jc w:val="both"/>
        <w:rPr>
          <w:rFonts w:ascii="Times New Roman" w:eastAsia="標楷體" w:hAnsi="Times New Roman" w:cs="Times New Roman"/>
          <w:iCs w:val="0"/>
          <w:kern w:val="2"/>
          <w:sz w:val="24"/>
          <w:szCs w:val="24"/>
        </w:rPr>
      </w:pPr>
      <w:r w:rsidRPr="002277D5">
        <w:rPr>
          <w:rFonts w:ascii="Times New Roman" w:eastAsia="標楷體" w:hAnsi="Times New Roman" w:cs="Times New Roman" w:hint="eastAsia"/>
          <w:iCs w:val="0"/>
          <w:kern w:val="2"/>
          <w:sz w:val="24"/>
          <w:szCs w:val="24"/>
        </w:rPr>
        <w:t xml:space="preserve">       </w:t>
      </w:r>
      <w:r w:rsidR="00C83AF7" w:rsidRPr="002277D5">
        <w:rPr>
          <w:rFonts w:ascii="Times New Roman" w:eastAsia="標楷體" w:hAnsi="Times New Roman" w:cs="Times New Roman" w:hint="eastAsia"/>
          <w:iCs w:val="0"/>
          <w:kern w:val="2"/>
          <w:sz w:val="24"/>
          <w:szCs w:val="24"/>
        </w:rPr>
        <w:t xml:space="preserve">   </w:t>
      </w:r>
      <w:r w:rsidR="00E325EA" w:rsidRPr="002277D5">
        <w:rPr>
          <w:rFonts w:ascii="Times New Roman" w:eastAsia="標楷體" w:hAnsi="Times New Roman" w:cs="Times New Roman" w:hint="eastAsia"/>
          <w:iCs w:val="0"/>
          <w:kern w:val="2"/>
          <w:sz w:val="24"/>
          <w:szCs w:val="24"/>
        </w:rPr>
        <w:t>2</w:t>
      </w:r>
      <w:r w:rsidR="00E325EA" w:rsidRPr="002277D5">
        <w:rPr>
          <w:rFonts w:ascii="標楷體" w:eastAsia="標楷體" w:hAnsi="標楷體" w:cs="Times New Roman" w:hint="eastAsia"/>
          <w:iCs w:val="0"/>
          <w:kern w:val="2"/>
          <w:sz w:val="24"/>
          <w:szCs w:val="24"/>
        </w:rPr>
        <w:t>、</w:t>
      </w:r>
      <w:r w:rsidR="00E325EA" w:rsidRPr="002277D5">
        <w:rPr>
          <w:rFonts w:ascii="Times New Roman" w:eastAsia="標楷體" w:hAnsi="Times New Roman" w:cs="Times New Roman" w:hint="eastAsia"/>
          <w:iCs w:val="0"/>
          <w:kern w:val="2"/>
          <w:sz w:val="24"/>
          <w:szCs w:val="24"/>
        </w:rPr>
        <w:t>學術發表成果</w:t>
      </w:r>
      <w:r w:rsidR="00E325EA" w:rsidRPr="002277D5">
        <w:rPr>
          <w:rFonts w:ascii="Times New Roman" w:eastAsia="標楷體" w:hAnsi="Times New Roman" w:cs="Times New Roman" w:hint="eastAsia"/>
          <w:iCs w:val="0"/>
          <w:kern w:val="2"/>
          <w:sz w:val="24"/>
          <w:szCs w:val="24"/>
        </w:rPr>
        <w:t>:</w:t>
      </w:r>
    </w:p>
    <w:p w:rsidR="00E325EA" w:rsidRPr="002277D5" w:rsidRDefault="002D1E38" w:rsidP="00C83AF7">
      <w:pPr>
        <w:snapToGrid w:val="0"/>
        <w:spacing w:after="119" w:line="240" w:lineRule="auto"/>
        <w:ind w:left="1560" w:hangingChars="650" w:hanging="1560"/>
        <w:jc w:val="both"/>
        <w:rPr>
          <w:rFonts w:ascii="Times New Roman" w:eastAsia="標楷體" w:hAnsi="Times New Roman" w:cs="Times New Roman"/>
          <w:iCs w:val="0"/>
          <w:kern w:val="2"/>
          <w:sz w:val="24"/>
          <w:szCs w:val="24"/>
        </w:rPr>
      </w:pPr>
      <w:r w:rsidRPr="002277D5">
        <w:rPr>
          <w:rFonts w:ascii="Times New Roman" w:eastAsia="標楷體" w:hAnsi="Times New Roman" w:cs="Times New Roman" w:hint="eastAsia"/>
          <w:iCs w:val="0"/>
          <w:kern w:val="2"/>
          <w:sz w:val="24"/>
          <w:szCs w:val="24"/>
        </w:rPr>
        <w:t xml:space="preserve">          </w:t>
      </w:r>
      <w:r w:rsidR="00C83AF7" w:rsidRPr="002277D5">
        <w:rPr>
          <w:rFonts w:ascii="Times New Roman" w:eastAsia="標楷體" w:hAnsi="Times New Roman" w:cs="Times New Roman" w:hint="eastAsia"/>
          <w:iCs w:val="0"/>
          <w:kern w:val="2"/>
          <w:sz w:val="24"/>
          <w:szCs w:val="24"/>
        </w:rPr>
        <w:t xml:space="preserve">   </w:t>
      </w:r>
      <w:r w:rsidR="00E325EA" w:rsidRPr="002277D5">
        <w:rPr>
          <w:rFonts w:ascii="Times New Roman" w:eastAsia="標楷體" w:hAnsi="Times New Roman" w:cs="Times New Roman" w:hint="eastAsia"/>
          <w:iCs w:val="0"/>
          <w:kern w:val="2"/>
          <w:sz w:val="24"/>
          <w:szCs w:val="24"/>
        </w:rPr>
        <w:t>每篇論文或每本專書僅能計算一次評鑑績效。</w:t>
      </w:r>
    </w:p>
    <w:tbl>
      <w:tblPr>
        <w:tblStyle w:val="afa"/>
        <w:tblW w:w="0" w:type="auto"/>
        <w:tblInd w:w="675" w:type="dxa"/>
        <w:tblLook w:val="04A0" w:firstRow="1" w:lastRow="0" w:firstColumn="1" w:lastColumn="0" w:noHBand="0" w:noVBand="1"/>
      </w:tblPr>
      <w:tblGrid>
        <w:gridCol w:w="3592"/>
        <w:gridCol w:w="4035"/>
      </w:tblGrid>
      <w:tr w:rsidR="00701AEC" w:rsidRPr="002277D5" w:rsidTr="00B81644">
        <w:trPr>
          <w:trHeight w:val="263"/>
        </w:trPr>
        <w:tc>
          <w:tcPr>
            <w:tcW w:w="3592" w:type="dxa"/>
          </w:tcPr>
          <w:p w:rsidR="00E325EA" w:rsidRPr="002277D5" w:rsidRDefault="00E325EA" w:rsidP="007A48AF">
            <w:pPr>
              <w:snapToGrid w:val="0"/>
              <w:spacing w:beforeLines="50" w:before="180" w:after="119"/>
              <w:jc w:val="both"/>
              <w:rPr>
                <w:rFonts w:ascii="Times New Roman" w:eastAsia="標楷體" w:hAnsi="Times New Roman" w:cs="Times New Roman"/>
                <w:iCs w:val="0"/>
                <w:sz w:val="24"/>
                <w:szCs w:val="24"/>
              </w:rPr>
            </w:pPr>
            <w:r w:rsidRPr="002277D5">
              <w:rPr>
                <w:rFonts w:ascii="Times New Roman" w:eastAsia="標楷體" w:hAnsi="Times New Roman" w:cs="Times New Roman" w:hint="eastAsia"/>
                <w:iCs w:val="0"/>
                <w:sz w:val="24"/>
                <w:szCs w:val="24"/>
              </w:rPr>
              <w:t>學術發表成果型式</w:t>
            </w:r>
          </w:p>
        </w:tc>
        <w:tc>
          <w:tcPr>
            <w:tcW w:w="4035" w:type="dxa"/>
          </w:tcPr>
          <w:p w:rsidR="00E325EA" w:rsidRPr="002277D5" w:rsidRDefault="00E325EA" w:rsidP="007A48AF">
            <w:pPr>
              <w:snapToGrid w:val="0"/>
              <w:spacing w:beforeLines="50" w:before="180" w:after="119"/>
              <w:jc w:val="both"/>
              <w:rPr>
                <w:rFonts w:ascii="Times New Roman" w:eastAsia="標楷體" w:hAnsi="Times New Roman" w:cs="Times New Roman"/>
                <w:iCs w:val="0"/>
                <w:sz w:val="24"/>
                <w:szCs w:val="24"/>
              </w:rPr>
            </w:pPr>
            <w:r w:rsidRPr="002277D5">
              <w:rPr>
                <w:rFonts w:ascii="Times New Roman" w:eastAsia="標楷體" w:hAnsi="Times New Roman" w:cs="Times New Roman"/>
                <w:iCs w:val="0"/>
                <w:sz w:val="24"/>
                <w:szCs w:val="24"/>
              </w:rPr>
              <w:t>計</w:t>
            </w:r>
            <w:r w:rsidRPr="002277D5">
              <w:rPr>
                <w:rFonts w:ascii="Times New Roman" w:eastAsia="標楷體" w:hAnsi="Times New Roman" w:cs="Times New Roman" w:hint="eastAsia"/>
                <w:iCs w:val="0"/>
                <w:sz w:val="24"/>
                <w:szCs w:val="24"/>
              </w:rPr>
              <w:t>分</w:t>
            </w:r>
            <w:r w:rsidRPr="002277D5">
              <w:rPr>
                <w:rFonts w:ascii="Times New Roman" w:eastAsia="標楷體" w:hAnsi="Times New Roman" w:cs="Times New Roman"/>
                <w:iCs w:val="0"/>
                <w:sz w:val="24"/>
                <w:szCs w:val="24"/>
              </w:rPr>
              <w:t>方式</w:t>
            </w:r>
          </w:p>
        </w:tc>
      </w:tr>
      <w:tr w:rsidR="00701AEC" w:rsidRPr="002277D5" w:rsidTr="00B81644">
        <w:tc>
          <w:tcPr>
            <w:tcW w:w="3592" w:type="dxa"/>
          </w:tcPr>
          <w:p w:rsidR="00E325EA" w:rsidRPr="002277D5" w:rsidRDefault="00E325EA" w:rsidP="00E325EA">
            <w:pPr>
              <w:snapToGrid w:val="0"/>
              <w:jc w:val="both"/>
              <w:rPr>
                <w:rFonts w:ascii="Times New Roman" w:eastAsia="標楷體" w:hAnsi="Times New Roman" w:cs="Times New Roman"/>
                <w:sz w:val="24"/>
                <w:szCs w:val="24"/>
              </w:rPr>
            </w:pPr>
            <w:r w:rsidRPr="002277D5">
              <w:rPr>
                <w:rFonts w:ascii="Times New Roman" w:eastAsia="標楷體" w:hAnsi="Times New Roman" w:cs="Times New Roman"/>
                <w:sz w:val="24"/>
                <w:szCs w:val="24"/>
              </w:rPr>
              <w:t>SCI</w:t>
            </w:r>
            <w:r w:rsidRPr="002277D5">
              <w:rPr>
                <w:rFonts w:ascii="Times New Roman" w:eastAsia="標楷體" w:hAnsi="Times New Roman" w:cs="Times New Roman"/>
                <w:sz w:val="24"/>
                <w:szCs w:val="24"/>
              </w:rPr>
              <w:t>、</w:t>
            </w:r>
            <w:r w:rsidRPr="002277D5">
              <w:rPr>
                <w:rFonts w:ascii="Times New Roman" w:eastAsia="標楷體" w:hAnsi="Times New Roman" w:cs="Times New Roman"/>
                <w:sz w:val="24"/>
                <w:szCs w:val="24"/>
              </w:rPr>
              <w:t>SCIE</w:t>
            </w:r>
            <w:r w:rsidRPr="002277D5">
              <w:rPr>
                <w:rFonts w:ascii="Times New Roman" w:eastAsia="標楷體" w:hAnsi="Times New Roman" w:cs="Times New Roman"/>
                <w:sz w:val="24"/>
                <w:szCs w:val="24"/>
              </w:rPr>
              <w:t>期刊</w:t>
            </w:r>
          </w:p>
        </w:tc>
        <w:tc>
          <w:tcPr>
            <w:tcW w:w="4035" w:type="dxa"/>
          </w:tcPr>
          <w:p w:rsidR="00E325EA" w:rsidRPr="002277D5" w:rsidRDefault="003F7964" w:rsidP="006C3E05">
            <w:pPr>
              <w:snapToGrid w:val="0"/>
              <w:jc w:val="both"/>
              <w:rPr>
                <w:rFonts w:ascii="Times New Roman" w:eastAsia="標楷體" w:hAnsi="Times New Roman" w:cs="Times New Roman"/>
                <w:sz w:val="24"/>
                <w:szCs w:val="24"/>
              </w:rPr>
            </w:pPr>
            <w:r w:rsidRPr="002277D5">
              <w:rPr>
                <w:rFonts w:ascii="Times New Roman" w:eastAsia="標楷體" w:hAnsi="Times New Roman" w:cs="Times New Roman" w:hint="eastAsia"/>
                <w:sz w:val="24"/>
                <w:szCs w:val="24"/>
              </w:rPr>
              <w:t>每篇</w:t>
            </w:r>
            <w:r w:rsidR="000A54E6" w:rsidRPr="002277D5">
              <w:rPr>
                <w:rFonts w:ascii="Times New Roman" w:eastAsia="標楷體" w:hAnsi="Times New Roman" w:cs="Times New Roman" w:hint="eastAsia"/>
                <w:sz w:val="24"/>
                <w:szCs w:val="24"/>
              </w:rPr>
              <w:t>1</w:t>
            </w:r>
            <w:r w:rsidRPr="002277D5">
              <w:rPr>
                <w:rFonts w:ascii="Times New Roman" w:eastAsia="標楷體" w:hAnsi="Times New Roman" w:cs="Times New Roman" w:hint="eastAsia"/>
                <w:sz w:val="24"/>
                <w:szCs w:val="24"/>
              </w:rPr>
              <w:t>分</w:t>
            </w:r>
            <w:r w:rsidR="006C3E05" w:rsidRPr="002277D5">
              <w:rPr>
                <w:rFonts w:ascii="標楷體" w:eastAsia="標楷體" w:hAnsi="標楷體" w:cs="Times New Roman" w:hint="eastAsia"/>
                <w:sz w:val="24"/>
                <w:szCs w:val="24"/>
              </w:rPr>
              <w:t>；</w:t>
            </w:r>
            <w:r w:rsidRPr="002277D5">
              <w:rPr>
                <w:rFonts w:ascii="Times New Roman" w:eastAsia="標楷體" w:hAnsi="Times New Roman" w:cs="Times New Roman" w:hint="eastAsia"/>
                <w:sz w:val="24"/>
                <w:szCs w:val="24"/>
              </w:rPr>
              <w:t>達</w:t>
            </w:r>
            <w:r w:rsidRPr="002277D5">
              <w:rPr>
                <w:rFonts w:ascii="Times New Roman" w:eastAsia="標楷體" w:hAnsi="Times New Roman" w:cs="Times New Roman" w:hint="eastAsia"/>
                <w:sz w:val="24"/>
                <w:szCs w:val="24"/>
              </w:rPr>
              <w:t>Q1</w:t>
            </w:r>
            <w:r w:rsidRPr="002277D5">
              <w:rPr>
                <w:rFonts w:ascii="Times New Roman" w:eastAsia="標楷體" w:hAnsi="Times New Roman" w:cs="Times New Roman" w:hint="eastAsia"/>
                <w:sz w:val="24"/>
                <w:szCs w:val="24"/>
              </w:rPr>
              <w:t>級，則每篇</w:t>
            </w:r>
            <w:r w:rsidR="000A54E6" w:rsidRPr="002277D5">
              <w:rPr>
                <w:rFonts w:ascii="Times New Roman" w:eastAsia="標楷體" w:hAnsi="Times New Roman" w:cs="Times New Roman" w:hint="eastAsia"/>
                <w:sz w:val="24"/>
                <w:szCs w:val="24"/>
              </w:rPr>
              <w:t>2</w:t>
            </w:r>
            <w:r w:rsidRPr="002277D5">
              <w:rPr>
                <w:rFonts w:ascii="Times New Roman" w:eastAsia="標楷體" w:hAnsi="Times New Roman" w:cs="Times New Roman" w:hint="eastAsia"/>
                <w:sz w:val="24"/>
                <w:szCs w:val="24"/>
              </w:rPr>
              <w:t>分</w:t>
            </w:r>
          </w:p>
        </w:tc>
      </w:tr>
      <w:tr w:rsidR="00701AEC" w:rsidRPr="002277D5" w:rsidTr="00B81644">
        <w:tc>
          <w:tcPr>
            <w:tcW w:w="3592" w:type="dxa"/>
          </w:tcPr>
          <w:p w:rsidR="00E325EA" w:rsidRPr="002277D5" w:rsidRDefault="00E325EA" w:rsidP="00E325EA">
            <w:pPr>
              <w:snapToGrid w:val="0"/>
              <w:jc w:val="both"/>
              <w:rPr>
                <w:rFonts w:ascii="Times New Roman" w:eastAsia="標楷體" w:hAnsi="Times New Roman" w:cs="Times New Roman"/>
                <w:sz w:val="24"/>
                <w:szCs w:val="24"/>
              </w:rPr>
            </w:pPr>
            <w:r w:rsidRPr="002277D5">
              <w:rPr>
                <w:rFonts w:ascii="Times New Roman" w:eastAsia="標楷體" w:hAnsi="Times New Roman" w:cs="Times New Roman"/>
                <w:sz w:val="24"/>
                <w:szCs w:val="24"/>
              </w:rPr>
              <w:t>專書</w:t>
            </w:r>
            <w:r w:rsidRPr="002277D5">
              <w:rPr>
                <w:rFonts w:ascii="Times New Roman" w:eastAsia="標楷體" w:hAnsi="Times New Roman" w:cs="Times New Roman"/>
                <w:sz w:val="24"/>
                <w:szCs w:val="24"/>
              </w:rPr>
              <w:t>(</w:t>
            </w:r>
            <w:r w:rsidRPr="002277D5">
              <w:rPr>
                <w:rFonts w:ascii="Times New Roman" w:eastAsia="標楷體" w:hAnsi="Times New Roman" w:cs="Times New Roman"/>
                <w:sz w:val="24"/>
                <w:szCs w:val="24"/>
              </w:rPr>
              <w:t>有國際標準書號</w:t>
            </w:r>
            <w:r w:rsidRPr="002277D5">
              <w:rPr>
                <w:rFonts w:ascii="Times New Roman" w:eastAsia="標楷體" w:hAnsi="Times New Roman" w:cs="Times New Roman"/>
                <w:sz w:val="24"/>
                <w:szCs w:val="24"/>
              </w:rPr>
              <w:t>ISBN)</w:t>
            </w:r>
          </w:p>
        </w:tc>
        <w:tc>
          <w:tcPr>
            <w:tcW w:w="4035" w:type="dxa"/>
          </w:tcPr>
          <w:p w:rsidR="00E325EA" w:rsidRPr="002277D5" w:rsidRDefault="0095302D" w:rsidP="00E325EA">
            <w:pPr>
              <w:snapToGrid w:val="0"/>
              <w:jc w:val="both"/>
              <w:rPr>
                <w:rFonts w:ascii="Times New Roman" w:eastAsia="標楷體" w:hAnsi="Times New Roman" w:cs="Times New Roman"/>
                <w:sz w:val="24"/>
                <w:szCs w:val="24"/>
              </w:rPr>
            </w:pPr>
            <w:r w:rsidRPr="002277D5">
              <w:rPr>
                <w:rFonts w:ascii="Times New Roman" w:eastAsia="標楷體" w:hAnsi="Times New Roman" w:cs="Times New Roman" w:hint="eastAsia"/>
                <w:sz w:val="24"/>
                <w:szCs w:val="24"/>
              </w:rPr>
              <w:t>每本</w:t>
            </w:r>
            <w:r w:rsidR="000A54E6" w:rsidRPr="002277D5">
              <w:rPr>
                <w:rFonts w:ascii="Times New Roman" w:eastAsia="標楷體" w:hAnsi="Times New Roman" w:cs="Times New Roman" w:hint="eastAsia"/>
                <w:sz w:val="24"/>
                <w:szCs w:val="24"/>
              </w:rPr>
              <w:t>4</w:t>
            </w:r>
            <w:r w:rsidRPr="002277D5">
              <w:rPr>
                <w:rFonts w:ascii="Times New Roman" w:eastAsia="標楷體" w:hAnsi="Times New Roman" w:cs="Times New Roman" w:hint="eastAsia"/>
                <w:sz w:val="24"/>
                <w:szCs w:val="24"/>
              </w:rPr>
              <w:t>分</w:t>
            </w:r>
          </w:p>
        </w:tc>
      </w:tr>
    </w:tbl>
    <w:p w:rsidR="008942BC" w:rsidRPr="002277D5" w:rsidRDefault="002D1E38" w:rsidP="008942BC">
      <w:pPr>
        <w:snapToGrid w:val="0"/>
        <w:spacing w:beforeLines="50" w:before="180" w:after="0" w:line="240" w:lineRule="auto"/>
        <w:ind w:left="1560" w:hangingChars="650" w:hanging="1560"/>
        <w:jc w:val="both"/>
        <w:rPr>
          <w:rFonts w:ascii="Times New Roman" w:eastAsia="標楷體" w:hAnsi="Times New Roman" w:cs="Times New Roman"/>
          <w:iCs w:val="0"/>
          <w:kern w:val="2"/>
          <w:sz w:val="24"/>
          <w:szCs w:val="24"/>
        </w:rPr>
      </w:pPr>
      <w:r w:rsidRPr="002277D5">
        <w:rPr>
          <w:rFonts w:ascii="Times New Roman" w:eastAsia="標楷體" w:hAnsi="Times New Roman" w:cs="Times New Roman" w:hint="eastAsia"/>
          <w:iCs w:val="0"/>
          <w:kern w:val="2"/>
          <w:sz w:val="24"/>
          <w:szCs w:val="24"/>
        </w:rPr>
        <w:t xml:space="preserve">       </w:t>
      </w:r>
      <w:r w:rsidR="00D4297C" w:rsidRPr="002277D5">
        <w:rPr>
          <w:rFonts w:ascii="Times New Roman" w:eastAsia="標楷體" w:hAnsi="Times New Roman" w:cs="Times New Roman" w:hint="eastAsia"/>
          <w:iCs w:val="0"/>
          <w:kern w:val="2"/>
          <w:sz w:val="24"/>
          <w:szCs w:val="24"/>
        </w:rPr>
        <w:t xml:space="preserve">   </w:t>
      </w:r>
      <w:r w:rsidR="008942BC" w:rsidRPr="002277D5">
        <w:rPr>
          <w:rFonts w:ascii="Times New Roman" w:eastAsia="標楷體" w:hAnsi="Times New Roman" w:cs="Times New Roman" w:hint="eastAsia"/>
          <w:iCs w:val="0"/>
          <w:kern w:val="2"/>
          <w:sz w:val="24"/>
          <w:szCs w:val="24"/>
        </w:rPr>
        <w:t>3</w:t>
      </w:r>
      <w:r w:rsidR="008942BC" w:rsidRPr="002277D5">
        <w:rPr>
          <w:rFonts w:ascii="標楷體" w:eastAsia="標楷體" w:hAnsi="標楷體" w:cs="Times New Roman" w:hint="eastAsia"/>
          <w:iCs w:val="0"/>
          <w:kern w:val="2"/>
          <w:sz w:val="24"/>
          <w:szCs w:val="24"/>
        </w:rPr>
        <w:t>、</w:t>
      </w:r>
      <w:r w:rsidR="008942BC" w:rsidRPr="002277D5">
        <w:rPr>
          <w:rFonts w:ascii="Times New Roman" w:eastAsia="標楷體" w:hAnsi="Times New Roman" w:cs="Times New Roman" w:hint="eastAsia"/>
          <w:iCs w:val="0"/>
          <w:kern w:val="2"/>
          <w:sz w:val="24"/>
          <w:szCs w:val="24"/>
        </w:rPr>
        <w:t>學術活動交流：</w:t>
      </w:r>
    </w:p>
    <w:p w:rsidR="008942BC" w:rsidRPr="002277D5" w:rsidRDefault="002D1E38" w:rsidP="008942BC">
      <w:pPr>
        <w:snapToGrid w:val="0"/>
        <w:spacing w:after="0" w:line="240" w:lineRule="auto"/>
        <w:ind w:left="1560" w:hangingChars="650" w:hanging="1560"/>
        <w:jc w:val="both"/>
        <w:rPr>
          <w:rFonts w:ascii="Times New Roman" w:eastAsia="標楷體" w:hAnsi="Times New Roman" w:cs="Times New Roman"/>
          <w:iCs w:val="0"/>
          <w:kern w:val="2"/>
          <w:sz w:val="24"/>
          <w:szCs w:val="24"/>
        </w:rPr>
      </w:pPr>
      <w:r w:rsidRPr="002277D5">
        <w:rPr>
          <w:rFonts w:ascii="Times New Roman" w:eastAsia="標楷體" w:hAnsi="Times New Roman" w:cs="Times New Roman" w:hint="eastAsia"/>
          <w:iCs w:val="0"/>
          <w:kern w:val="2"/>
          <w:sz w:val="24"/>
          <w:szCs w:val="24"/>
        </w:rPr>
        <w:t xml:space="preserve">          </w:t>
      </w:r>
      <w:r w:rsidR="00D4297C" w:rsidRPr="002277D5">
        <w:rPr>
          <w:rFonts w:ascii="Times New Roman" w:eastAsia="標楷體" w:hAnsi="Times New Roman" w:cs="Times New Roman" w:hint="eastAsia"/>
          <w:iCs w:val="0"/>
          <w:kern w:val="2"/>
          <w:sz w:val="24"/>
          <w:szCs w:val="24"/>
        </w:rPr>
        <w:t xml:space="preserve">   </w:t>
      </w:r>
      <w:r w:rsidR="008942BC" w:rsidRPr="002277D5">
        <w:rPr>
          <w:rFonts w:ascii="Times New Roman" w:eastAsia="標楷體" w:hAnsi="Times New Roman" w:cs="Times New Roman" w:hint="eastAsia"/>
          <w:iCs w:val="0"/>
          <w:kern w:val="2"/>
          <w:sz w:val="24"/>
          <w:szCs w:val="24"/>
        </w:rPr>
        <w:t>線上國際會議比照國內會議計算方式。</w:t>
      </w:r>
    </w:p>
    <w:tbl>
      <w:tblPr>
        <w:tblStyle w:val="afa"/>
        <w:tblW w:w="0" w:type="auto"/>
        <w:tblInd w:w="675" w:type="dxa"/>
        <w:tblLook w:val="04A0" w:firstRow="1" w:lastRow="0" w:firstColumn="1" w:lastColumn="0" w:noHBand="0" w:noVBand="1"/>
      </w:tblPr>
      <w:tblGrid>
        <w:gridCol w:w="3574"/>
        <w:gridCol w:w="4053"/>
      </w:tblGrid>
      <w:tr w:rsidR="00701AEC" w:rsidRPr="002277D5" w:rsidTr="00575E59">
        <w:trPr>
          <w:trHeight w:val="263"/>
        </w:trPr>
        <w:tc>
          <w:tcPr>
            <w:tcW w:w="3574" w:type="dxa"/>
          </w:tcPr>
          <w:p w:rsidR="008942BC" w:rsidRPr="002277D5" w:rsidRDefault="003638D8" w:rsidP="007A48AF">
            <w:pPr>
              <w:snapToGrid w:val="0"/>
              <w:spacing w:beforeLines="50" w:before="180" w:after="119"/>
              <w:jc w:val="both"/>
              <w:rPr>
                <w:rFonts w:ascii="Times New Roman" w:eastAsia="標楷體" w:hAnsi="Times New Roman" w:cs="Times New Roman"/>
                <w:iCs w:val="0"/>
                <w:sz w:val="24"/>
                <w:szCs w:val="24"/>
              </w:rPr>
            </w:pPr>
            <w:r w:rsidRPr="002277D5">
              <w:rPr>
                <w:rFonts w:ascii="Times New Roman" w:eastAsia="標楷體" w:hAnsi="Times New Roman" w:cs="Times New Roman" w:hint="eastAsia"/>
                <w:iCs w:val="0"/>
                <w:sz w:val="24"/>
                <w:szCs w:val="24"/>
              </w:rPr>
              <w:t>會議</w:t>
            </w:r>
            <w:r w:rsidR="00546777" w:rsidRPr="002277D5">
              <w:rPr>
                <w:rFonts w:ascii="Times New Roman" w:eastAsia="標楷體" w:hAnsi="Times New Roman" w:cs="Times New Roman" w:hint="eastAsia"/>
                <w:iCs w:val="0"/>
                <w:sz w:val="24"/>
                <w:szCs w:val="24"/>
              </w:rPr>
              <w:t>或活動</w:t>
            </w:r>
            <w:r w:rsidRPr="002277D5">
              <w:rPr>
                <w:rFonts w:ascii="Times New Roman" w:eastAsia="標楷體" w:hAnsi="Times New Roman" w:cs="Times New Roman" w:hint="eastAsia"/>
                <w:iCs w:val="0"/>
                <w:sz w:val="24"/>
                <w:szCs w:val="24"/>
              </w:rPr>
              <w:t>規模</w:t>
            </w:r>
          </w:p>
        </w:tc>
        <w:tc>
          <w:tcPr>
            <w:tcW w:w="4053" w:type="dxa"/>
          </w:tcPr>
          <w:p w:rsidR="008942BC" w:rsidRPr="002277D5" w:rsidRDefault="008942BC" w:rsidP="003638D8">
            <w:pPr>
              <w:snapToGrid w:val="0"/>
              <w:spacing w:beforeLines="50" w:before="180" w:after="119"/>
              <w:jc w:val="both"/>
              <w:rPr>
                <w:rFonts w:ascii="Times New Roman" w:eastAsia="標楷體" w:hAnsi="Times New Roman" w:cs="Times New Roman"/>
                <w:iCs w:val="0"/>
                <w:sz w:val="24"/>
                <w:szCs w:val="24"/>
              </w:rPr>
            </w:pPr>
            <w:r w:rsidRPr="002277D5">
              <w:rPr>
                <w:rFonts w:ascii="Times New Roman" w:eastAsia="標楷體" w:hAnsi="Times New Roman" w:cs="Times New Roman"/>
                <w:iCs w:val="0"/>
                <w:sz w:val="24"/>
                <w:szCs w:val="24"/>
              </w:rPr>
              <w:t>計</w:t>
            </w:r>
            <w:r w:rsidRPr="002277D5">
              <w:rPr>
                <w:rFonts w:ascii="Times New Roman" w:eastAsia="標楷體" w:hAnsi="Times New Roman" w:cs="Times New Roman" w:hint="eastAsia"/>
                <w:iCs w:val="0"/>
                <w:sz w:val="24"/>
                <w:szCs w:val="24"/>
              </w:rPr>
              <w:t>分</w:t>
            </w:r>
            <w:r w:rsidRPr="002277D5">
              <w:rPr>
                <w:rFonts w:ascii="Times New Roman" w:eastAsia="標楷體" w:hAnsi="Times New Roman" w:cs="Times New Roman"/>
                <w:iCs w:val="0"/>
                <w:sz w:val="24"/>
                <w:szCs w:val="24"/>
              </w:rPr>
              <w:t>方式</w:t>
            </w:r>
            <w:r w:rsidR="003638D8" w:rsidRPr="002277D5">
              <w:rPr>
                <w:rFonts w:ascii="Times New Roman" w:eastAsia="標楷體" w:hAnsi="Times New Roman" w:cs="Times New Roman" w:hint="eastAsia"/>
                <w:iCs w:val="0"/>
                <w:sz w:val="24"/>
                <w:szCs w:val="24"/>
              </w:rPr>
              <w:t>(</w:t>
            </w:r>
            <w:r w:rsidR="003638D8" w:rsidRPr="002277D5">
              <w:rPr>
                <w:rFonts w:ascii="Times New Roman" w:eastAsia="標楷體" w:hAnsi="Times New Roman" w:cs="Times New Roman" w:hint="eastAsia"/>
                <w:iCs w:val="0"/>
                <w:sz w:val="24"/>
                <w:szCs w:val="24"/>
              </w:rPr>
              <w:t>參與人數</w:t>
            </w:r>
            <w:r w:rsidR="003638D8" w:rsidRPr="002277D5">
              <w:rPr>
                <w:rFonts w:ascii="Times New Roman" w:eastAsia="標楷體" w:hAnsi="Times New Roman" w:cs="Times New Roman" w:hint="eastAsia"/>
                <w:iCs w:val="0"/>
                <w:sz w:val="24"/>
                <w:szCs w:val="24"/>
              </w:rPr>
              <w:t>/</w:t>
            </w:r>
            <w:r w:rsidR="003638D8" w:rsidRPr="002277D5">
              <w:rPr>
                <w:rFonts w:ascii="Times New Roman" w:eastAsia="標楷體" w:hAnsi="Times New Roman" w:cs="Times New Roman" w:hint="eastAsia"/>
                <w:iCs w:val="0"/>
                <w:sz w:val="24"/>
                <w:szCs w:val="24"/>
              </w:rPr>
              <w:t>分數</w:t>
            </w:r>
            <w:r w:rsidR="003638D8" w:rsidRPr="002277D5">
              <w:rPr>
                <w:rFonts w:ascii="Times New Roman" w:eastAsia="標楷體" w:hAnsi="Times New Roman" w:cs="Times New Roman" w:hint="eastAsia"/>
                <w:iCs w:val="0"/>
                <w:sz w:val="24"/>
                <w:szCs w:val="24"/>
              </w:rPr>
              <w:t>)</w:t>
            </w:r>
          </w:p>
        </w:tc>
      </w:tr>
      <w:tr w:rsidR="00701AEC" w:rsidRPr="002277D5" w:rsidTr="00575E59">
        <w:tc>
          <w:tcPr>
            <w:tcW w:w="3574" w:type="dxa"/>
            <w:vMerge w:val="restart"/>
          </w:tcPr>
          <w:p w:rsidR="00B33A02" w:rsidRPr="002277D5" w:rsidRDefault="00B33A02" w:rsidP="007A48AF">
            <w:pPr>
              <w:snapToGrid w:val="0"/>
              <w:jc w:val="both"/>
              <w:rPr>
                <w:rFonts w:ascii="Times New Roman" w:eastAsia="標楷體" w:hAnsi="Times New Roman" w:cs="Times New Roman"/>
                <w:sz w:val="24"/>
                <w:szCs w:val="24"/>
              </w:rPr>
            </w:pPr>
            <w:r w:rsidRPr="002277D5">
              <w:rPr>
                <w:rFonts w:ascii="Times New Roman" w:eastAsia="標楷體" w:hAnsi="Times New Roman" w:cs="Times New Roman" w:hint="eastAsia"/>
                <w:sz w:val="24"/>
                <w:szCs w:val="24"/>
              </w:rPr>
              <w:t>國內會議</w:t>
            </w:r>
            <w:r w:rsidR="00546777" w:rsidRPr="002277D5">
              <w:rPr>
                <w:rFonts w:ascii="Times New Roman" w:eastAsia="標楷體" w:hAnsi="Times New Roman" w:cs="Times New Roman" w:hint="eastAsia"/>
                <w:sz w:val="24"/>
                <w:szCs w:val="24"/>
              </w:rPr>
              <w:t>或</w:t>
            </w:r>
            <w:r w:rsidRPr="002277D5">
              <w:rPr>
                <w:rFonts w:ascii="Times New Roman" w:eastAsia="標楷體" w:hAnsi="Times New Roman" w:cs="Times New Roman" w:hint="eastAsia"/>
                <w:sz w:val="24"/>
                <w:szCs w:val="24"/>
              </w:rPr>
              <w:t>活動</w:t>
            </w:r>
          </w:p>
        </w:tc>
        <w:tc>
          <w:tcPr>
            <w:tcW w:w="4053" w:type="dxa"/>
          </w:tcPr>
          <w:p w:rsidR="00B33A02" w:rsidRPr="002277D5" w:rsidRDefault="00B33A02" w:rsidP="00546777">
            <w:pPr>
              <w:snapToGrid w:val="0"/>
              <w:jc w:val="both"/>
              <w:rPr>
                <w:rFonts w:ascii="Times New Roman" w:eastAsia="標楷體" w:hAnsi="Times New Roman" w:cs="Times New Roman"/>
                <w:sz w:val="24"/>
                <w:szCs w:val="24"/>
              </w:rPr>
            </w:pPr>
            <w:r w:rsidRPr="002277D5">
              <w:rPr>
                <w:rFonts w:ascii="Times New Roman" w:eastAsia="標楷體" w:hAnsi="Times New Roman" w:cs="Times New Roman" w:hint="eastAsia"/>
                <w:sz w:val="24"/>
                <w:szCs w:val="24"/>
              </w:rPr>
              <w:t>10</w:t>
            </w:r>
            <w:r w:rsidRPr="002277D5">
              <w:rPr>
                <w:rFonts w:ascii="Times New Roman" w:eastAsia="標楷體" w:hAnsi="Times New Roman" w:cs="Times New Roman" w:hint="eastAsia"/>
                <w:sz w:val="24"/>
                <w:szCs w:val="24"/>
              </w:rPr>
              <w:t>人</w:t>
            </w:r>
            <w:r w:rsidR="00546777" w:rsidRPr="002277D5">
              <w:rPr>
                <w:rFonts w:ascii="Times New Roman" w:eastAsia="標楷體" w:hAnsi="Times New Roman" w:cs="Times New Roman" w:hint="eastAsia"/>
                <w:sz w:val="24"/>
                <w:szCs w:val="24"/>
              </w:rPr>
              <w:t>以下</w:t>
            </w:r>
            <w:r w:rsidRPr="002277D5">
              <w:rPr>
                <w:rFonts w:ascii="Times New Roman" w:eastAsia="標楷體" w:hAnsi="Times New Roman" w:cs="Times New Roman" w:hint="eastAsia"/>
                <w:sz w:val="24"/>
                <w:szCs w:val="24"/>
              </w:rPr>
              <w:t>/</w:t>
            </w:r>
            <w:r w:rsidR="007937D3" w:rsidRPr="002277D5">
              <w:rPr>
                <w:rFonts w:ascii="Times New Roman" w:eastAsia="標楷體" w:hAnsi="Times New Roman" w:cs="Times New Roman" w:hint="eastAsia"/>
                <w:sz w:val="24"/>
                <w:szCs w:val="24"/>
              </w:rPr>
              <w:t>1</w:t>
            </w:r>
            <w:r w:rsidRPr="002277D5">
              <w:rPr>
                <w:rFonts w:ascii="Times New Roman" w:eastAsia="標楷體" w:hAnsi="Times New Roman" w:cs="Times New Roman" w:hint="eastAsia"/>
                <w:sz w:val="24"/>
                <w:szCs w:val="24"/>
              </w:rPr>
              <w:t>分</w:t>
            </w:r>
          </w:p>
        </w:tc>
      </w:tr>
      <w:tr w:rsidR="00701AEC" w:rsidRPr="002277D5" w:rsidTr="00575E59">
        <w:tc>
          <w:tcPr>
            <w:tcW w:w="3574" w:type="dxa"/>
            <w:vMerge/>
          </w:tcPr>
          <w:p w:rsidR="00546777" w:rsidRPr="002277D5" w:rsidRDefault="00546777" w:rsidP="007A48AF">
            <w:pPr>
              <w:snapToGrid w:val="0"/>
              <w:jc w:val="both"/>
              <w:rPr>
                <w:rFonts w:ascii="Times New Roman" w:eastAsia="標楷體" w:hAnsi="Times New Roman" w:cs="Times New Roman"/>
                <w:sz w:val="24"/>
                <w:szCs w:val="24"/>
              </w:rPr>
            </w:pPr>
          </w:p>
        </w:tc>
        <w:tc>
          <w:tcPr>
            <w:tcW w:w="4053" w:type="dxa"/>
          </w:tcPr>
          <w:p w:rsidR="00546777" w:rsidRPr="002277D5" w:rsidRDefault="00546777" w:rsidP="007A48AF">
            <w:pPr>
              <w:snapToGrid w:val="0"/>
              <w:jc w:val="both"/>
              <w:rPr>
                <w:rFonts w:ascii="Times New Roman" w:eastAsia="標楷體" w:hAnsi="Times New Roman" w:cs="Times New Roman"/>
                <w:sz w:val="24"/>
                <w:szCs w:val="24"/>
              </w:rPr>
            </w:pPr>
            <w:r w:rsidRPr="002277D5">
              <w:rPr>
                <w:rFonts w:ascii="Times New Roman" w:eastAsia="標楷體" w:hAnsi="Times New Roman" w:cs="Times New Roman" w:hint="eastAsia"/>
                <w:sz w:val="24"/>
                <w:szCs w:val="24"/>
              </w:rPr>
              <w:t>10~100</w:t>
            </w:r>
            <w:r w:rsidRPr="002277D5">
              <w:rPr>
                <w:rFonts w:ascii="Times New Roman" w:eastAsia="標楷體" w:hAnsi="Times New Roman" w:cs="Times New Roman" w:hint="eastAsia"/>
                <w:sz w:val="24"/>
                <w:szCs w:val="24"/>
              </w:rPr>
              <w:t>人</w:t>
            </w:r>
            <w:r w:rsidRPr="002277D5">
              <w:rPr>
                <w:rFonts w:ascii="Times New Roman" w:eastAsia="標楷體" w:hAnsi="Times New Roman" w:cs="Times New Roman" w:hint="eastAsia"/>
                <w:sz w:val="24"/>
                <w:szCs w:val="24"/>
              </w:rPr>
              <w:t>/</w:t>
            </w:r>
            <w:r w:rsidR="007B362A" w:rsidRPr="002277D5">
              <w:rPr>
                <w:rFonts w:ascii="Times New Roman" w:eastAsia="標楷體" w:hAnsi="Times New Roman" w:cs="Times New Roman" w:hint="eastAsia"/>
                <w:sz w:val="24"/>
                <w:szCs w:val="24"/>
              </w:rPr>
              <w:t>3</w:t>
            </w:r>
            <w:r w:rsidRPr="002277D5">
              <w:rPr>
                <w:rFonts w:ascii="Times New Roman" w:eastAsia="標楷體" w:hAnsi="Times New Roman" w:cs="Times New Roman" w:hint="eastAsia"/>
                <w:sz w:val="24"/>
                <w:szCs w:val="24"/>
              </w:rPr>
              <w:t>分</w:t>
            </w:r>
          </w:p>
        </w:tc>
      </w:tr>
      <w:tr w:rsidR="00701AEC" w:rsidRPr="002277D5" w:rsidTr="00575E59">
        <w:tc>
          <w:tcPr>
            <w:tcW w:w="3574" w:type="dxa"/>
            <w:vMerge/>
          </w:tcPr>
          <w:p w:rsidR="00B33A02" w:rsidRPr="002277D5" w:rsidRDefault="00B33A02" w:rsidP="007A48AF">
            <w:pPr>
              <w:snapToGrid w:val="0"/>
              <w:jc w:val="both"/>
              <w:rPr>
                <w:rFonts w:ascii="Times New Roman" w:eastAsia="標楷體" w:hAnsi="Times New Roman" w:cs="Times New Roman"/>
                <w:sz w:val="24"/>
                <w:szCs w:val="24"/>
              </w:rPr>
            </w:pPr>
          </w:p>
        </w:tc>
        <w:tc>
          <w:tcPr>
            <w:tcW w:w="4053" w:type="dxa"/>
          </w:tcPr>
          <w:p w:rsidR="00B33A02" w:rsidRPr="002277D5" w:rsidRDefault="00B33A02" w:rsidP="007A48AF">
            <w:pPr>
              <w:snapToGrid w:val="0"/>
              <w:jc w:val="both"/>
              <w:rPr>
                <w:rFonts w:ascii="Times New Roman" w:eastAsia="標楷體" w:hAnsi="Times New Roman" w:cs="Times New Roman"/>
                <w:sz w:val="24"/>
                <w:szCs w:val="24"/>
              </w:rPr>
            </w:pPr>
            <w:r w:rsidRPr="002277D5">
              <w:rPr>
                <w:rFonts w:ascii="Times New Roman" w:eastAsia="標楷體" w:hAnsi="Times New Roman" w:cs="Times New Roman" w:hint="eastAsia"/>
                <w:sz w:val="24"/>
                <w:szCs w:val="24"/>
              </w:rPr>
              <w:t>101~200</w:t>
            </w:r>
            <w:r w:rsidRPr="002277D5">
              <w:rPr>
                <w:rFonts w:ascii="Times New Roman" w:eastAsia="標楷體" w:hAnsi="Times New Roman" w:cs="Times New Roman" w:hint="eastAsia"/>
                <w:sz w:val="24"/>
                <w:szCs w:val="24"/>
              </w:rPr>
              <w:t>人</w:t>
            </w:r>
            <w:r w:rsidRPr="002277D5">
              <w:rPr>
                <w:rFonts w:ascii="Times New Roman" w:eastAsia="標楷體" w:hAnsi="Times New Roman" w:cs="Times New Roman" w:hint="eastAsia"/>
                <w:sz w:val="24"/>
                <w:szCs w:val="24"/>
              </w:rPr>
              <w:t>/</w:t>
            </w:r>
            <w:r w:rsidR="00E263D9" w:rsidRPr="002277D5">
              <w:rPr>
                <w:rFonts w:ascii="Times New Roman" w:eastAsia="標楷體" w:hAnsi="Times New Roman" w:cs="Times New Roman" w:hint="eastAsia"/>
                <w:sz w:val="24"/>
                <w:szCs w:val="24"/>
              </w:rPr>
              <w:t>6</w:t>
            </w:r>
            <w:r w:rsidRPr="002277D5">
              <w:rPr>
                <w:rFonts w:ascii="Times New Roman" w:eastAsia="標楷體" w:hAnsi="Times New Roman" w:cs="Times New Roman" w:hint="eastAsia"/>
                <w:sz w:val="24"/>
                <w:szCs w:val="24"/>
              </w:rPr>
              <w:t>分</w:t>
            </w:r>
            <w:r w:rsidRPr="002277D5">
              <w:rPr>
                <w:rFonts w:ascii="Times New Roman" w:eastAsia="標楷體" w:hAnsi="Times New Roman" w:cs="Times New Roman"/>
                <w:sz w:val="24"/>
                <w:szCs w:val="24"/>
              </w:rPr>
              <w:t xml:space="preserve"> </w:t>
            </w:r>
          </w:p>
        </w:tc>
      </w:tr>
      <w:tr w:rsidR="00701AEC" w:rsidRPr="002277D5" w:rsidTr="00575E59">
        <w:tc>
          <w:tcPr>
            <w:tcW w:w="3574" w:type="dxa"/>
            <w:vMerge/>
          </w:tcPr>
          <w:p w:rsidR="00B33A02" w:rsidRPr="002277D5" w:rsidRDefault="00B33A02" w:rsidP="007A48AF">
            <w:pPr>
              <w:snapToGrid w:val="0"/>
              <w:jc w:val="both"/>
              <w:rPr>
                <w:rFonts w:ascii="Times New Roman" w:eastAsia="標楷體" w:hAnsi="Times New Roman" w:cs="Times New Roman"/>
                <w:sz w:val="24"/>
                <w:szCs w:val="24"/>
              </w:rPr>
            </w:pPr>
          </w:p>
        </w:tc>
        <w:tc>
          <w:tcPr>
            <w:tcW w:w="4053" w:type="dxa"/>
          </w:tcPr>
          <w:p w:rsidR="00B33A02" w:rsidRPr="002277D5" w:rsidRDefault="00B33A02" w:rsidP="007A48AF">
            <w:pPr>
              <w:snapToGrid w:val="0"/>
              <w:jc w:val="both"/>
              <w:rPr>
                <w:rFonts w:ascii="Times New Roman" w:eastAsia="標楷體" w:hAnsi="Times New Roman" w:cs="Times New Roman"/>
                <w:sz w:val="24"/>
                <w:szCs w:val="24"/>
              </w:rPr>
            </w:pPr>
            <w:r w:rsidRPr="002277D5">
              <w:rPr>
                <w:rFonts w:ascii="Times New Roman" w:eastAsia="標楷體" w:hAnsi="Times New Roman" w:cs="Times New Roman" w:hint="eastAsia"/>
                <w:sz w:val="24"/>
                <w:szCs w:val="24"/>
              </w:rPr>
              <w:t>201</w:t>
            </w:r>
            <w:r w:rsidRPr="002277D5">
              <w:rPr>
                <w:rFonts w:ascii="Times New Roman" w:eastAsia="標楷體" w:hAnsi="Times New Roman" w:cs="Times New Roman" w:hint="eastAsia"/>
                <w:sz w:val="24"/>
                <w:szCs w:val="24"/>
              </w:rPr>
              <w:t>人以上</w:t>
            </w:r>
            <w:r w:rsidRPr="002277D5">
              <w:rPr>
                <w:rFonts w:ascii="Times New Roman" w:eastAsia="標楷體" w:hAnsi="Times New Roman" w:cs="Times New Roman" w:hint="eastAsia"/>
                <w:sz w:val="24"/>
                <w:szCs w:val="24"/>
              </w:rPr>
              <w:t>/</w:t>
            </w:r>
            <w:r w:rsidR="00E263D9" w:rsidRPr="002277D5">
              <w:rPr>
                <w:rFonts w:ascii="Times New Roman" w:eastAsia="標楷體" w:hAnsi="Times New Roman" w:cs="Times New Roman" w:hint="eastAsia"/>
                <w:sz w:val="24"/>
                <w:szCs w:val="24"/>
              </w:rPr>
              <w:t>9</w:t>
            </w:r>
            <w:r w:rsidRPr="002277D5">
              <w:rPr>
                <w:rFonts w:ascii="Times New Roman" w:eastAsia="標楷體" w:hAnsi="Times New Roman" w:cs="Times New Roman" w:hint="eastAsia"/>
                <w:sz w:val="24"/>
                <w:szCs w:val="24"/>
              </w:rPr>
              <w:t>分</w:t>
            </w:r>
          </w:p>
        </w:tc>
      </w:tr>
      <w:tr w:rsidR="00701AEC" w:rsidRPr="002277D5" w:rsidTr="00575E59">
        <w:tc>
          <w:tcPr>
            <w:tcW w:w="3574" w:type="dxa"/>
            <w:vMerge w:val="restart"/>
          </w:tcPr>
          <w:p w:rsidR="00575E59" w:rsidRPr="002277D5" w:rsidRDefault="00575E59" w:rsidP="00575E59">
            <w:pPr>
              <w:snapToGrid w:val="0"/>
              <w:jc w:val="both"/>
              <w:rPr>
                <w:rFonts w:ascii="Times New Roman" w:eastAsia="標楷體" w:hAnsi="Times New Roman" w:cs="Times New Roman"/>
                <w:sz w:val="24"/>
                <w:szCs w:val="24"/>
              </w:rPr>
            </w:pPr>
            <w:r w:rsidRPr="002277D5">
              <w:rPr>
                <w:rFonts w:ascii="Times New Roman" w:eastAsia="標楷體" w:hAnsi="Times New Roman" w:cs="Times New Roman" w:hint="eastAsia"/>
                <w:sz w:val="24"/>
                <w:szCs w:val="24"/>
              </w:rPr>
              <w:t>國際會議或活動</w:t>
            </w:r>
          </w:p>
        </w:tc>
        <w:tc>
          <w:tcPr>
            <w:tcW w:w="4053" w:type="dxa"/>
          </w:tcPr>
          <w:p w:rsidR="00575E59" w:rsidRPr="002277D5" w:rsidRDefault="00575E59" w:rsidP="00575E59">
            <w:pPr>
              <w:snapToGrid w:val="0"/>
              <w:jc w:val="both"/>
              <w:rPr>
                <w:rFonts w:ascii="Times New Roman" w:eastAsia="標楷體" w:hAnsi="Times New Roman" w:cs="Times New Roman"/>
                <w:sz w:val="24"/>
                <w:szCs w:val="24"/>
              </w:rPr>
            </w:pPr>
            <w:r w:rsidRPr="002277D5">
              <w:rPr>
                <w:rFonts w:ascii="Times New Roman" w:eastAsia="標楷體" w:hAnsi="Times New Roman" w:cs="Times New Roman" w:hint="eastAsia"/>
                <w:sz w:val="24"/>
                <w:szCs w:val="24"/>
              </w:rPr>
              <w:t>10</w:t>
            </w:r>
            <w:r w:rsidR="003202C6" w:rsidRPr="002277D5">
              <w:rPr>
                <w:rFonts w:ascii="Times New Roman" w:eastAsia="標楷體" w:hAnsi="Times New Roman" w:cs="Times New Roman" w:hint="eastAsia"/>
                <w:sz w:val="24"/>
                <w:szCs w:val="24"/>
              </w:rPr>
              <w:t>0</w:t>
            </w:r>
            <w:r w:rsidRPr="002277D5">
              <w:rPr>
                <w:rFonts w:ascii="Times New Roman" w:eastAsia="標楷體" w:hAnsi="Times New Roman" w:cs="Times New Roman" w:hint="eastAsia"/>
                <w:sz w:val="24"/>
                <w:szCs w:val="24"/>
              </w:rPr>
              <w:t>人以下</w:t>
            </w:r>
            <w:r w:rsidRPr="002277D5">
              <w:rPr>
                <w:rFonts w:ascii="Times New Roman" w:eastAsia="標楷體" w:hAnsi="Times New Roman" w:cs="Times New Roman" w:hint="eastAsia"/>
                <w:sz w:val="24"/>
                <w:szCs w:val="24"/>
              </w:rPr>
              <w:t>/</w:t>
            </w:r>
            <w:r w:rsidR="003202C6" w:rsidRPr="002277D5">
              <w:rPr>
                <w:rFonts w:ascii="Times New Roman" w:eastAsia="標楷體" w:hAnsi="Times New Roman" w:cs="Times New Roman" w:hint="eastAsia"/>
                <w:sz w:val="24"/>
                <w:szCs w:val="24"/>
              </w:rPr>
              <w:t>10</w:t>
            </w:r>
            <w:r w:rsidRPr="002277D5">
              <w:rPr>
                <w:rFonts w:ascii="Times New Roman" w:eastAsia="標楷體" w:hAnsi="Times New Roman" w:cs="Times New Roman" w:hint="eastAsia"/>
                <w:sz w:val="24"/>
                <w:szCs w:val="24"/>
              </w:rPr>
              <w:t>分</w:t>
            </w:r>
          </w:p>
        </w:tc>
      </w:tr>
      <w:tr w:rsidR="00701AEC" w:rsidRPr="002277D5" w:rsidTr="00575E59">
        <w:tc>
          <w:tcPr>
            <w:tcW w:w="3574" w:type="dxa"/>
            <w:vMerge/>
          </w:tcPr>
          <w:p w:rsidR="00575E59" w:rsidRPr="002277D5" w:rsidRDefault="00575E59" w:rsidP="00575E59">
            <w:pPr>
              <w:snapToGrid w:val="0"/>
              <w:jc w:val="both"/>
              <w:rPr>
                <w:rFonts w:ascii="Times New Roman" w:eastAsia="標楷體" w:hAnsi="Times New Roman" w:cs="Times New Roman"/>
                <w:sz w:val="24"/>
                <w:szCs w:val="24"/>
              </w:rPr>
            </w:pPr>
          </w:p>
        </w:tc>
        <w:tc>
          <w:tcPr>
            <w:tcW w:w="4053" w:type="dxa"/>
          </w:tcPr>
          <w:p w:rsidR="00575E59" w:rsidRPr="002277D5" w:rsidRDefault="00575E59" w:rsidP="00575E59">
            <w:pPr>
              <w:snapToGrid w:val="0"/>
              <w:jc w:val="both"/>
              <w:rPr>
                <w:rFonts w:ascii="Times New Roman" w:eastAsia="標楷體" w:hAnsi="Times New Roman" w:cs="Times New Roman"/>
                <w:sz w:val="24"/>
                <w:szCs w:val="24"/>
              </w:rPr>
            </w:pPr>
            <w:r w:rsidRPr="002277D5">
              <w:rPr>
                <w:rFonts w:ascii="Times New Roman" w:eastAsia="標楷體" w:hAnsi="Times New Roman" w:cs="Times New Roman" w:hint="eastAsia"/>
                <w:sz w:val="24"/>
                <w:szCs w:val="24"/>
              </w:rPr>
              <w:t>10</w:t>
            </w:r>
            <w:r w:rsidR="008D25A6" w:rsidRPr="002277D5">
              <w:rPr>
                <w:rFonts w:ascii="Times New Roman" w:eastAsia="標楷體" w:hAnsi="Times New Roman" w:cs="Times New Roman" w:hint="eastAsia"/>
                <w:sz w:val="24"/>
                <w:szCs w:val="24"/>
              </w:rPr>
              <w:t>0</w:t>
            </w:r>
            <w:r w:rsidRPr="002277D5">
              <w:rPr>
                <w:rFonts w:ascii="Times New Roman" w:eastAsia="標楷體" w:hAnsi="Times New Roman" w:cs="Times New Roman" w:hint="eastAsia"/>
                <w:sz w:val="24"/>
                <w:szCs w:val="24"/>
              </w:rPr>
              <w:t>~</w:t>
            </w:r>
            <w:r w:rsidR="008D25A6" w:rsidRPr="002277D5">
              <w:rPr>
                <w:rFonts w:ascii="Times New Roman" w:eastAsia="標楷體" w:hAnsi="Times New Roman" w:cs="Times New Roman" w:hint="eastAsia"/>
                <w:sz w:val="24"/>
                <w:szCs w:val="24"/>
              </w:rPr>
              <w:t>3</w:t>
            </w:r>
            <w:r w:rsidRPr="002277D5">
              <w:rPr>
                <w:rFonts w:ascii="Times New Roman" w:eastAsia="標楷體" w:hAnsi="Times New Roman" w:cs="Times New Roman" w:hint="eastAsia"/>
                <w:sz w:val="24"/>
                <w:szCs w:val="24"/>
              </w:rPr>
              <w:t>00</w:t>
            </w:r>
            <w:r w:rsidRPr="002277D5">
              <w:rPr>
                <w:rFonts w:ascii="Times New Roman" w:eastAsia="標楷體" w:hAnsi="Times New Roman" w:cs="Times New Roman" w:hint="eastAsia"/>
                <w:sz w:val="24"/>
                <w:szCs w:val="24"/>
              </w:rPr>
              <w:t>人</w:t>
            </w:r>
            <w:r w:rsidRPr="002277D5">
              <w:rPr>
                <w:rFonts w:ascii="Times New Roman" w:eastAsia="標楷體" w:hAnsi="Times New Roman" w:cs="Times New Roman" w:hint="eastAsia"/>
                <w:sz w:val="24"/>
                <w:szCs w:val="24"/>
              </w:rPr>
              <w:t>/12</w:t>
            </w:r>
            <w:r w:rsidRPr="002277D5">
              <w:rPr>
                <w:rFonts w:ascii="Times New Roman" w:eastAsia="標楷體" w:hAnsi="Times New Roman" w:cs="Times New Roman" w:hint="eastAsia"/>
                <w:sz w:val="24"/>
                <w:szCs w:val="24"/>
              </w:rPr>
              <w:t>分</w:t>
            </w:r>
          </w:p>
        </w:tc>
      </w:tr>
      <w:tr w:rsidR="00701AEC" w:rsidRPr="002277D5" w:rsidTr="00575E59">
        <w:tc>
          <w:tcPr>
            <w:tcW w:w="3574" w:type="dxa"/>
            <w:vMerge/>
          </w:tcPr>
          <w:p w:rsidR="00575E59" w:rsidRPr="002277D5" w:rsidRDefault="00575E59" w:rsidP="00575E59">
            <w:pPr>
              <w:snapToGrid w:val="0"/>
              <w:jc w:val="both"/>
              <w:rPr>
                <w:rFonts w:ascii="Times New Roman" w:eastAsia="標楷體" w:hAnsi="Times New Roman" w:cs="Times New Roman"/>
                <w:sz w:val="24"/>
                <w:szCs w:val="24"/>
              </w:rPr>
            </w:pPr>
          </w:p>
        </w:tc>
        <w:tc>
          <w:tcPr>
            <w:tcW w:w="4053" w:type="dxa"/>
          </w:tcPr>
          <w:p w:rsidR="00575E59" w:rsidRPr="002277D5" w:rsidRDefault="008D25A6" w:rsidP="00575E59">
            <w:pPr>
              <w:snapToGrid w:val="0"/>
              <w:jc w:val="both"/>
              <w:rPr>
                <w:rFonts w:ascii="Times New Roman" w:eastAsia="標楷體" w:hAnsi="Times New Roman" w:cs="Times New Roman"/>
                <w:sz w:val="24"/>
                <w:szCs w:val="24"/>
              </w:rPr>
            </w:pPr>
            <w:r w:rsidRPr="002277D5">
              <w:rPr>
                <w:rFonts w:ascii="Times New Roman" w:eastAsia="標楷體" w:hAnsi="Times New Roman" w:cs="Times New Roman" w:hint="eastAsia"/>
                <w:sz w:val="24"/>
                <w:szCs w:val="24"/>
              </w:rPr>
              <w:t>3</w:t>
            </w:r>
            <w:r w:rsidR="00575E59" w:rsidRPr="002277D5">
              <w:rPr>
                <w:rFonts w:ascii="Times New Roman" w:eastAsia="標楷體" w:hAnsi="Times New Roman" w:cs="Times New Roman" w:hint="eastAsia"/>
                <w:sz w:val="24"/>
                <w:szCs w:val="24"/>
              </w:rPr>
              <w:t>01~</w:t>
            </w:r>
            <w:r w:rsidRPr="002277D5">
              <w:rPr>
                <w:rFonts w:ascii="Times New Roman" w:eastAsia="標楷體" w:hAnsi="Times New Roman" w:cs="Times New Roman" w:hint="eastAsia"/>
                <w:sz w:val="24"/>
                <w:szCs w:val="24"/>
              </w:rPr>
              <w:t>5</w:t>
            </w:r>
            <w:r w:rsidR="00575E59" w:rsidRPr="002277D5">
              <w:rPr>
                <w:rFonts w:ascii="Times New Roman" w:eastAsia="標楷體" w:hAnsi="Times New Roman" w:cs="Times New Roman" w:hint="eastAsia"/>
                <w:sz w:val="24"/>
                <w:szCs w:val="24"/>
              </w:rPr>
              <w:t>00</w:t>
            </w:r>
            <w:r w:rsidR="00575E59" w:rsidRPr="002277D5">
              <w:rPr>
                <w:rFonts w:ascii="Times New Roman" w:eastAsia="標楷體" w:hAnsi="Times New Roman" w:cs="Times New Roman" w:hint="eastAsia"/>
                <w:sz w:val="24"/>
                <w:szCs w:val="24"/>
              </w:rPr>
              <w:t>人</w:t>
            </w:r>
            <w:r w:rsidR="00575E59" w:rsidRPr="002277D5">
              <w:rPr>
                <w:rFonts w:ascii="Times New Roman" w:eastAsia="標楷體" w:hAnsi="Times New Roman" w:cs="Times New Roman" w:hint="eastAsia"/>
                <w:sz w:val="24"/>
                <w:szCs w:val="24"/>
              </w:rPr>
              <w:t>/</w:t>
            </w:r>
            <w:r w:rsidRPr="002277D5">
              <w:rPr>
                <w:rFonts w:ascii="Times New Roman" w:eastAsia="標楷體" w:hAnsi="Times New Roman" w:cs="Times New Roman" w:hint="eastAsia"/>
                <w:sz w:val="24"/>
                <w:szCs w:val="24"/>
              </w:rPr>
              <w:t>21</w:t>
            </w:r>
            <w:r w:rsidR="00575E59" w:rsidRPr="002277D5">
              <w:rPr>
                <w:rFonts w:ascii="Times New Roman" w:eastAsia="標楷體" w:hAnsi="Times New Roman" w:cs="Times New Roman" w:hint="eastAsia"/>
                <w:sz w:val="24"/>
                <w:szCs w:val="24"/>
              </w:rPr>
              <w:t>分</w:t>
            </w:r>
            <w:r w:rsidR="00575E59" w:rsidRPr="002277D5">
              <w:rPr>
                <w:rFonts w:ascii="Times New Roman" w:eastAsia="標楷體" w:hAnsi="Times New Roman" w:cs="Times New Roman"/>
                <w:sz w:val="24"/>
                <w:szCs w:val="24"/>
              </w:rPr>
              <w:t xml:space="preserve"> </w:t>
            </w:r>
          </w:p>
        </w:tc>
      </w:tr>
      <w:tr w:rsidR="00701AEC" w:rsidRPr="002277D5" w:rsidTr="00575E59">
        <w:tc>
          <w:tcPr>
            <w:tcW w:w="3574" w:type="dxa"/>
            <w:vMerge/>
          </w:tcPr>
          <w:p w:rsidR="00575E59" w:rsidRPr="002277D5" w:rsidRDefault="00575E59" w:rsidP="00575E59">
            <w:pPr>
              <w:snapToGrid w:val="0"/>
              <w:jc w:val="both"/>
              <w:rPr>
                <w:rFonts w:ascii="Times New Roman" w:eastAsia="標楷體" w:hAnsi="Times New Roman" w:cs="Times New Roman"/>
                <w:sz w:val="24"/>
                <w:szCs w:val="24"/>
              </w:rPr>
            </w:pPr>
          </w:p>
        </w:tc>
        <w:tc>
          <w:tcPr>
            <w:tcW w:w="4053" w:type="dxa"/>
          </w:tcPr>
          <w:p w:rsidR="00575E59" w:rsidRPr="002277D5" w:rsidRDefault="003202C6" w:rsidP="00575E59">
            <w:pPr>
              <w:snapToGrid w:val="0"/>
              <w:jc w:val="both"/>
              <w:rPr>
                <w:rFonts w:ascii="Times New Roman" w:eastAsia="標楷體" w:hAnsi="Times New Roman" w:cs="Times New Roman"/>
                <w:sz w:val="24"/>
                <w:szCs w:val="24"/>
              </w:rPr>
            </w:pPr>
            <w:r w:rsidRPr="002277D5">
              <w:rPr>
                <w:rFonts w:ascii="Times New Roman" w:eastAsia="標楷體" w:hAnsi="Times New Roman" w:cs="Times New Roman" w:hint="eastAsia"/>
                <w:sz w:val="24"/>
                <w:szCs w:val="24"/>
              </w:rPr>
              <w:t>5</w:t>
            </w:r>
            <w:r w:rsidR="00575E59" w:rsidRPr="002277D5">
              <w:rPr>
                <w:rFonts w:ascii="Times New Roman" w:eastAsia="標楷體" w:hAnsi="Times New Roman" w:cs="Times New Roman" w:hint="eastAsia"/>
                <w:sz w:val="24"/>
                <w:szCs w:val="24"/>
              </w:rPr>
              <w:t>01</w:t>
            </w:r>
            <w:r w:rsidR="00575E59" w:rsidRPr="002277D5">
              <w:rPr>
                <w:rFonts w:ascii="Times New Roman" w:eastAsia="標楷體" w:hAnsi="Times New Roman" w:cs="Times New Roman" w:hint="eastAsia"/>
                <w:sz w:val="24"/>
                <w:szCs w:val="24"/>
              </w:rPr>
              <w:t>人以上</w:t>
            </w:r>
            <w:r w:rsidR="00575E59" w:rsidRPr="002277D5">
              <w:rPr>
                <w:rFonts w:ascii="Times New Roman" w:eastAsia="標楷體" w:hAnsi="Times New Roman" w:cs="Times New Roman" w:hint="eastAsia"/>
                <w:sz w:val="24"/>
                <w:szCs w:val="24"/>
              </w:rPr>
              <w:t>/</w:t>
            </w:r>
            <w:r w:rsidRPr="002277D5">
              <w:rPr>
                <w:rFonts w:ascii="Times New Roman" w:eastAsia="標楷體" w:hAnsi="Times New Roman" w:cs="Times New Roman" w:hint="eastAsia"/>
                <w:sz w:val="24"/>
                <w:szCs w:val="24"/>
              </w:rPr>
              <w:t>30</w:t>
            </w:r>
            <w:r w:rsidR="00575E59" w:rsidRPr="002277D5">
              <w:rPr>
                <w:rFonts w:ascii="Times New Roman" w:eastAsia="標楷體" w:hAnsi="Times New Roman" w:cs="Times New Roman" w:hint="eastAsia"/>
                <w:sz w:val="24"/>
                <w:szCs w:val="24"/>
              </w:rPr>
              <w:t>分</w:t>
            </w:r>
          </w:p>
        </w:tc>
      </w:tr>
    </w:tbl>
    <w:p w:rsidR="00E50821" w:rsidRPr="002277D5" w:rsidRDefault="002D1E38" w:rsidP="00E50821">
      <w:pPr>
        <w:snapToGrid w:val="0"/>
        <w:spacing w:beforeLines="50" w:before="180" w:after="0" w:line="240" w:lineRule="auto"/>
        <w:ind w:left="1560" w:hangingChars="650" w:hanging="1560"/>
        <w:jc w:val="both"/>
        <w:rPr>
          <w:rFonts w:ascii="Times New Roman" w:eastAsia="標楷體" w:hAnsi="Times New Roman" w:cs="Times New Roman"/>
          <w:iCs w:val="0"/>
          <w:kern w:val="2"/>
          <w:sz w:val="24"/>
          <w:szCs w:val="24"/>
        </w:rPr>
      </w:pPr>
      <w:r w:rsidRPr="002277D5">
        <w:rPr>
          <w:rFonts w:ascii="Times New Roman" w:eastAsia="標楷體" w:hAnsi="Times New Roman" w:cs="Times New Roman" w:hint="eastAsia"/>
          <w:iCs w:val="0"/>
          <w:kern w:val="2"/>
          <w:sz w:val="24"/>
          <w:szCs w:val="24"/>
        </w:rPr>
        <w:t xml:space="preserve">       </w:t>
      </w:r>
      <w:r w:rsidR="00EA640D" w:rsidRPr="002277D5">
        <w:rPr>
          <w:rFonts w:ascii="Times New Roman" w:eastAsia="標楷體" w:hAnsi="Times New Roman" w:cs="Times New Roman" w:hint="eastAsia"/>
          <w:iCs w:val="0"/>
          <w:kern w:val="2"/>
          <w:sz w:val="24"/>
          <w:szCs w:val="24"/>
        </w:rPr>
        <w:t xml:space="preserve">   </w:t>
      </w:r>
      <w:r w:rsidR="00E50821" w:rsidRPr="002277D5">
        <w:rPr>
          <w:rFonts w:ascii="Times New Roman" w:eastAsia="標楷體" w:hAnsi="Times New Roman" w:cs="Times New Roman" w:hint="eastAsia"/>
          <w:iCs w:val="0"/>
          <w:kern w:val="2"/>
          <w:sz w:val="24"/>
          <w:szCs w:val="24"/>
        </w:rPr>
        <w:t>4</w:t>
      </w:r>
      <w:r w:rsidR="00E50821" w:rsidRPr="002277D5">
        <w:rPr>
          <w:rFonts w:ascii="標楷體" w:eastAsia="標楷體" w:hAnsi="標楷體" w:cs="Times New Roman" w:hint="eastAsia"/>
          <w:iCs w:val="0"/>
          <w:kern w:val="2"/>
          <w:sz w:val="24"/>
          <w:szCs w:val="24"/>
        </w:rPr>
        <w:t>、</w:t>
      </w:r>
      <w:r w:rsidR="00E50821" w:rsidRPr="002277D5">
        <w:rPr>
          <w:rFonts w:ascii="Times New Roman" w:eastAsia="標楷體" w:hAnsi="Times New Roman" w:cs="Times New Roman" w:hint="eastAsia"/>
          <w:iCs w:val="0"/>
          <w:kern w:val="2"/>
          <w:sz w:val="24"/>
          <w:szCs w:val="24"/>
        </w:rPr>
        <w:t>其他足以彰顯中心價值之項目</w:t>
      </w:r>
      <w:r w:rsidR="00B92AD1" w:rsidRPr="002277D5">
        <w:rPr>
          <w:rFonts w:ascii="Times New Roman" w:eastAsia="標楷體" w:hAnsi="Times New Roman" w:cs="Times New Roman" w:hint="eastAsia"/>
          <w:iCs w:val="0"/>
          <w:kern w:val="2"/>
          <w:sz w:val="24"/>
          <w:szCs w:val="24"/>
        </w:rPr>
        <w:t>15</w:t>
      </w:r>
      <w:r w:rsidR="00E50821" w:rsidRPr="002277D5">
        <w:rPr>
          <w:rFonts w:ascii="Times New Roman" w:eastAsia="標楷體" w:hAnsi="Times New Roman" w:cs="Times New Roman" w:hint="eastAsia"/>
          <w:iCs w:val="0"/>
          <w:kern w:val="2"/>
          <w:sz w:val="24"/>
          <w:szCs w:val="24"/>
        </w:rPr>
        <w:t>分</w:t>
      </w:r>
      <w:r w:rsidR="00E50821" w:rsidRPr="002277D5">
        <w:rPr>
          <w:rFonts w:ascii="Times New Roman" w:eastAsia="標楷體" w:hAnsi="Times New Roman" w:cs="Times New Roman" w:hint="eastAsia"/>
          <w:iCs w:val="0"/>
          <w:kern w:val="2"/>
          <w:sz w:val="24"/>
          <w:szCs w:val="24"/>
        </w:rPr>
        <w:t>(</w:t>
      </w:r>
      <w:r w:rsidR="00B33FD1" w:rsidRPr="002277D5">
        <w:rPr>
          <w:rFonts w:ascii="Times New Roman" w:eastAsia="標楷體" w:hAnsi="Times New Roman" w:cs="Times New Roman" w:hint="eastAsia"/>
          <w:iCs w:val="0"/>
          <w:kern w:val="2"/>
          <w:sz w:val="24"/>
          <w:szCs w:val="24"/>
        </w:rPr>
        <w:t>由評鑑委員審查評分</w:t>
      </w:r>
      <w:r w:rsidR="00E50821" w:rsidRPr="002277D5">
        <w:rPr>
          <w:rFonts w:ascii="Times New Roman" w:eastAsia="標楷體" w:hAnsi="Times New Roman" w:cs="Times New Roman" w:hint="eastAsia"/>
          <w:iCs w:val="0"/>
          <w:kern w:val="2"/>
          <w:sz w:val="24"/>
          <w:szCs w:val="24"/>
        </w:rPr>
        <w:t>)</w:t>
      </w:r>
      <w:r w:rsidR="00E50821" w:rsidRPr="002277D5">
        <w:rPr>
          <w:rFonts w:ascii="Times New Roman" w:eastAsia="標楷體" w:hAnsi="Times New Roman" w:cs="Times New Roman" w:hint="eastAsia"/>
          <w:iCs w:val="0"/>
          <w:kern w:val="2"/>
          <w:sz w:val="24"/>
          <w:szCs w:val="24"/>
        </w:rPr>
        <w:t>。</w:t>
      </w:r>
    </w:p>
    <w:p w:rsidR="00E66BB8" w:rsidRPr="002277D5" w:rsidRDefault="00E66BB8" w:rsidP="00AC102A">
      <w:pPr>
        <w:snapToGrid w:val="0"/>
        <w:spacing w:beforeLines="50" w:before="180" w:after="119" w:line="240" w:lineRule="auto"/>
        <w:ind w:left="1080" w:hangingChars="450" w:hanging="1080"/>
        <w:jc w:val="both"/>
        <w:rPr>
          <w:rFonts w:ascii="Times New Roman" w:eastAsia="標楷體" w:hAnsi="Times New Roman" w:cs="Times New Roman"/>
          <w:iCs w:val="0"/>
          <w:kern w:val="2"/>
          <w:sz w:val="22"/>
          <w:szCs w:val="24"/>
        </w:rPr>
      </w:pPr>
      <w:r w:rsidRPr="002277D5">
        <w:rPr>
          <w:rFonts w:ascii="Times New Roman" w:eastAsia="標楷體" w:hAnsi="Times New Roman" w:hint="eastAsia"/>
          <w:sz w:val="24"/>
          <w:szCs w:val="28"/>
        </w:rPr>
        <w:t xml:space="preserve">  </w:t>
      </w:r>
      <w:r w:rsidRPr="002277D5">
        <w:rPr>
          <w:rFonts w:ascii="Times New Roman" w:eastAsia="標楷體" w:hAnsi="Times New Roman" w:cs="Times New Roman"/>
          <w:sz w:val="24"/>
          <w:szCs w:val="28"/>
        </w:rPr>
        <w:t xml:space="preserve">  </w:t>
      </w:r>
      <w:r w:rsidRPr="002277D5">
        <w:rPr>
          <w:rFonts w:ascii="Times New Roman" w:eastAsia="標楷體" w:hAnsi="Times New Roman" w:cs="Times New Roman"/>
          <w:sz w:val="24"/>
          <w:szCs w:val="28"/>
          <w:lang w:eastAsia="zh-HK"/>
        </w:rPr>
        <w:t>(</w:t>
      </w:r>
      <w:r w:rsidR="006A6074" w:rsidRPr="002277D5">
        <w:rPr>
          <w:rFonts w:ascii="Times New Roman" w:eastAsia="標楷體" w:hAnsi="Times New Roman" w:cs="Times New Roman" w:hint="eastAsia"/>
          <w:sz w:val="24"/>
          <w:szCs w:val="28"/>
        </w:rPr>
        <w:t>三</w:t>
      </w:r>
      <w:r w:rsidRPr="002277D5">
        <w:rPr>
          <w:rFonts w:ascii="Times New Roman" w:eastAsia="標楷體" w:hAnsi="Times New Roman" w:cs="Times New Roman"/>
          <w:sz w:val="24"/>
          <w:szCs w:val="28"/>
          <w:lang w:eastAsia="zh-HK"/>
        </w:rPr>
        <w:t>)</w:t>
      </w:r>
      <w:r w:rsidR="00AC102A" w:rsidRPr="002277D5">
        <w:rPr>
          <w:rFonts w:ascii="標楷體" w:eastAsia="標楷體" w:hAnsi="標楷體" w:cs="Times New Roman" w:hint="eastAsia"/>
          <w:sz w:val="24"/>
          <w:szCs w:val="28"/>
          <w:lang w:eastAsia="zh-HK"/>
        </w:rPr>
        <w:t>、</w:t>
      </w:r>
      <w:r w:rsidRPr="002277D5">
        <w:rPr>
          <w:rFonts w:ascii="Times New Roman" w:eastAsia="標楷體" w:hAnsi="Times New Roman" w:cs="Times New Roman"/>
          <w:iCs w:val="0"/>
          <w:kern w:val="2"/>
          <w:sz w:val="24"/>
          <w:szCs w:val="28"/>
        </w:rPr>
        <w:t>研究中心評鑑結果</w:t>
      </w:r>
      <w:r w:rsidRPr="002277D5">
        <w:rPr>
          <w:rFonts w:ascii="Times New Roman" w:eastAsia="標楷體" w:hAnsi="Times New Roman" w:cs="Times New Roman"/>
          <w:iCs w:val="0"/>
          <w:kern w:val="2"/>
          <w:sz w:val="24"/>
          <w:szCs w:val="28"/>
        </w:rPr>
        <w:t>7</w:t>
      </w:r>
      <w:r w:rsidR="00667212" w:rsidRPr="002277D5">
        <w:rPr>
          <w:rFonts w:ascii="Times New Roman" w:eastAsia="標楷體" w:hAnsi="Times New Roman" w:cs="Times New Roman" w:hint="eastAsia"/>
          <w:iCs w:val="0"/>
          <w:kern w:val="2"/>
          <w:sz w:val="24"/>
          <w:szCs w:val="28"/>
        </w:rPr>
        <w:t>5</w:t>
      </w:r>
      <w:r w:rsidRPr="002277D5">
        <w:rPr>
          <w:rFonts w:ascii="Times New Roman" w:eastAsia="標楷體" w:hAnsi="Times New Roman" w:cs="Times New Roman"/>
          <w:iCs w:val="0"/>
          <w:kern w:val="2"/>
          <w:sz w:val="24"/>
          <w:szCs w:val="28"/>
        </w:rPr>
        <w:t>~100</w:t>
      </w:r>
      <w:r w:rsidRPr="002277D5">
        <w:rPr>
          <w:rFonts w:ascii="Times New Roman" w:eastAsia="標楷體" w:hAnsi="Times New Roman" w:cs="Times New Roman"/>
          <w:iCs w:val="0"/>
          <w:kern w:val="2"/>
          <w:sz w:val="24"/>
          <w:szCs w:val="28"/>
        </w:rPr>
        <w:t>分為「通過」</w:t>
      </w:r>
      <w:r w:rsidR="00492B23" w:rsidRPr="002277D5">
        <w:rPr>
          <w:rFonts w:ascii="標楷體" w:eastAsia="標楷體" w:hAnsi="標楷體" w:cs="Times New Roman" w:hint="eastAsia"/>
          <w:iCs w:val="0"/>
          <w:kern w:val="2"/>
          <w:sz w:val="24"/>
          <w:szCs w:val="28"/>
        </w:rPr>
        <w:t>；</w:t>
      </w:r>
      <w:r w:rsidRPr="002277D5">
        <w:rPr>
          <w:rFonts w:ascii="Times New Roman" w:eastAsia="標楷體" w:hAnsi="Times New Roman" w:cs="Times New Roman"/>
          <w:iCs w:val="0"/>
          <w:kern w:val="2"/>
          <w:sz w:val="24"/>
          <w:szCs w:val="28"/>
        </w:rPr>
        <w:t>60~</w:t>
      </w:r>
      <w:r w:rsidR="00EC042F" w:rsidRPr="002277D5">
        <w:rPr>
          <w:rFonts w:ascii="Times New Roman" w:eastAsia="標楷體" w:hAnsi="Times New Roman" w:cs="Times New Roman" w:hint="eastAsia"/>
          <w:iCs w:val="0"/>
          <w:kern w:val="2"/>
          <w:sz w:val="24"/>
          <w:szCs w:val="28"/>
        </w:rPr>
        <w:t>74</w:t>
      </w:r>
      <w:r w:rsidRPr="002277D5">
        <w:rPr>
          <w:rFonts w:ascii="Times New Roman" w:eastAsia="標楷體" w:hAnsi="Times New Roman" w:cs="Times New Roman"/>
          <w:iCs w:val="0"/>
          <w:kern w:val="2"/>
          <w:sz w:val="24"/>
          <w:szCs w:val="28"/>
        </w:rPr>
        <w:t>分為「條件式通過」</w:t>
      </w:r>
      <w:r w:rsidR="00FB37D7" w:rsidRPr="002277D5">
        <w:rPr>
          <w:rFonts w:ascii="標楷體" w:eastAsia="標楷體" w:hAnsi="標楷體" w:cs="Times New Roman" w:hint="eastAsia"/>
          <w:iCs w:val="0"/>
          <w:kern w:val="2"/>
          <w:sz w:val="24"/>
          <w:szCs w:val="28"/>
        </w:rPr>
        <w:t>；</w:t>
      </w:r>
      <w:r w:rsidRPr="002277D5">
        <w:rPr>
          <w:rFonts w:ascii="Times New Roman" w:eastAsia="標楷體" w:hAnsi="Times New Roman" w:cs="Times New Roman"/>
          <w:iCs w:val="0"/>
          <w:kern w:val="2"/>
          <w:sz w:val="24"/>
          <w:szCs w:val="28"/>
        </w:rPr>
        <w:t>59</w:t>
      </w:r>
      <w:r w:rsidRPr="002277D5">
        <w:rPr>
          <w:rFonts w:ascii="Times New Roman" w:eastAsia="標楷體" w:hAnsi="Times New Roman" w:cs="Times New Roman"/>
          <w:iCs w:val="0"/>
          <w:kern w:val="2"/>
          <w:sz w:val="24"/>
          <w:szCs w:val="28"/>
        </w:rPr>
        <w:t>分以下為「不通過」。</w:t>
      </w:r>
    </w:p>
    <w:p w:rsidR="004B45E0" w:rsidRPr="002277D5" w:rsidRDefault="002D1E38" w:rsidP="00592B5F">
      <w:pPr>
        <w:snapToGrid w:val="0"/>
        <w:spacing w:line="240" w:lineRule="auto"/>
        <w:ind w:left="1440" w:hangingChars="600" w:hanging="1440"/>
        <w:jc w:val="both"/>
        <w:rPr>
          <w:rFonts w:ascii="Times New Roman" w:eastAsia="標楷體" w:hAnsi="Times New Roman" w:cs="Times New Roman"/>
          <w:sz w:val="24"/>
          <w:szCs w:val="28"/>
          <w:lang w:eastAsia="zh-HK"/>
        </w:rPr>
      </w:pPr>
      <w:r w:rsidRPr="002277D5">
        <w:rPr>
          <w:rFonts w:ascii="Times New Roman" w:eastAsia="標楷體" w:hAnsi="Times New Roman" w:cs="Times New Roman"/>
          <w:sz w:val="24"/>
          <w:szCs w:val="28"/>
        </w:rPr>
        <w:t xml:space="preserve">       </w:t>
      </w:r>
      <w:r w:rsidR="00AC102A" w:rsidRPr="002277D5">
        <w:rPr>
          <w:rFonts w:ascii="Times New Roman" w:eastAsia="標楷體" w:hAnsi="Times New Roman" w:cs="Times New Roman" w:hint="eastAsia"/>
          <w:sz w:val="24"/>
          <w:szCs w:val="28"/>
        </w:rPr>
        <w:t xml:space="preserve">  </w:t>
      </w:r>
      <w:r w:rsidR="002611CC" w:rsidRPr="002277D5">
        <w:rPr>
          <w:rFonts w:ascii="Times New Roman" w:eastAsia="標楷體" w:hAnsi="Times New Roman" w:cs="Times New Roman"/>
          <w:sz w:val="24"/>
          <w:szCs w:val="28"/>
          <w:lang w:eastAsia="zh-HK"/>
        </w:rPr>
        <w:t>1</w:t>
      </w:r>
      <w:r w:rsidR="002611CC" w:rsidRPr="002277D5">
        <w:rPr>
          <w:rFonts w:ascii="Times New Roman" w:eastAsia="標楷體" w:hAnsi="Times New Roman" w:cs="Times New Roman"/>
          <w:sz w:val="24"/>
          <w:szCs w:val="28"/>
          <w:lang w:eastAsia="zh-HK"/>
        </w:rPr>
        <w:t>、評鑑為「通過」，</w:t>
      </w:r>
      <w:r w:rsidR="00EC042F" w:rsidRPr="002277D5">
        <w:rPr>
          <w:rFonts w:ascii="Times New Roman" w:eastAsia="標楷體" w:hAnsi="Times New Roman" w:cs="Times New Roman" w:hint="eastAsia"/>
          <w:sz w:val="24"/>
          <w:szCs w:val="28"/>
        </w:rPr>
        <w:t>90</w:t>
      </w:r>
      <w:r w:rsidR="002611CC" w:rsidRPr="002277D5">
        <w:rPr>
          <w:rFonts w:ascii="Times New Roman" w:eastAsia="標楷體" w:hAnsi="Times New Roman" w:cs="Times New Roman"/>
          <w:sz w:val="24"/>
          <w:szCs w:val="28"/>
          <w:lang w:eastAsia="zh-HK"/>
        </w:rPr>
        <w:t xml:space="preserve"> </w:t>
      </w:r>
      <w:r w:rsidR="002611CC" w:rsidRPr="002277D5">
        <w:rPr>
          <w:rFonts w:ascii="Times New Roman" w:eastAsia="標楷體" w:hAnsi="Times New Roman" w:cs="Times New Roman"/>
          <w:sz w:val="24"/>
          <w:szCs w:val="28"/>
          <w:lang w:eastAsia="zh-HK"/>
        </w:rPr>
        <w:t>分以上得免評鑑二年，</w:t>
      </w:r>
      <w:r w:rsidR="002611CC" w:rsidRPr="002277D5">
        <w:rPr>
          <w:rFonts w:ascii="Times New Roman" w:eastAsia="標楷體" w:hAnsi="Times New Roman" w:cs="Times New Roman"/>
          <w:sz w:val="24"/>
          <w:szCs w:val="28"/>
          <w:lang w:eastAsia="zh-HK"/>
        </w:rPr>
        <w:t>7</w:t>
      </w:r>
      <w:r w:rsidR="00EC042F" w:rsidRPr="002277D5">
        <w:rPr>
          <w:rFonts w:ascii="Times New Roman" w:eastAsia="標楷體" w:hAnsi="Times New Roman" w:cs="Times New Roman" w:hint="eastAsia"/>
          <w:sz w:val="24"/>
          <w:szCs w:val="28"/>
        </w:rPr>
        <w:t>5</w:t>
      </w:r>
      <w:r w:rsidR="002611CC" w:rsidRPr="002277D5">
        <w:rPr>
          <w:rFonts w:ascii="Times New Roman" w:eastAsia="標楷體" w:hAnsi="Times New Roman" w:cs="Times New Roman"/>
          <w:sz w:val="24"/>
          <w:szCs w:val="28"/>
          <w:lang w:eastAsia="zh-HK"/>
        </w:rPr>
        <w:t>~</w:t>
      </w:r>
      <w:r w:rsidR="00EC042F" w:rsidRPr="002277D5">
        <w:rPr>
          <w:rFonts w:ascii="Times New Roman" w:eastAsia="標楷體" w:hAnsi="Times New Roman" w:cs="Times New Roman" w:hint="eastAsia"/>
          <w:sz w:val="24"/>
          <w:szCs w:val="28"/>
        </w:rPr>
        <w:t>8</w:t>
      </w:r>
      <w:r w:rsidR="002611CC" w:rsidRPr="002277D5">
        <w:rPr>
          <w:rFonts w:ascii="Times New Roman" w:eastAsia="標楷體" w:hAnsi="Times New Roman" w:cs="Times New Roman"/>
          <w:sz w:val="24"/>
          <w:szCs w:val="28"/>
          <w:lang w:eastAsia="zh-HK"/>
        </w:rPr>
        <w:t xml:space="preserve">9 </w:t>
      </w:r>
      <w:r w:rsidR="002611CC" w:rsidRPr="002277D5">
        <w:rPr>
          <w:rFonts w:ascii="Times New Roman" w:eastAsia="標楷體" w:hAnsi="Times New Roman" w:cs="Times New Roman"/>
          <w:sz w:val="24"/>
          <w:szCs w:val="28"/>
          <w:lang w:eastAsia="zh-HK"/>
        </w:rPr>
        <w:t>分得免評鑑一年。</w:t>
      </w:r>
    </w:p>
    <w:p w:rsidR="002611CC" w:rsidRPr="002277D5" w:rsidRDefault="002D1E38" w:rsidP="00AC102A">
      <w:pPr>
        <w:snapToGrid w:val="0"/>
        <w:spacing w:line="240" w:lineRule="auto"/>
        <w:ind w:left="1440" w:hangingChars="600" w:hanging="1440"/>
        <w:jc w:val="both"/>
        <w:rPr>
          <w:rFonts w:ascii="Times New Roman" w:eastAsia="標楷體" w:hAnsi="Times New Roman" w:cs="Times New Roman"/>
          <w:sz w:val="24"/>
          <w:szCs w:val="28"/>
          <w:lang w:eastAsia="zh-HK"/>
        </w:rPr>
      </w:pPr>
      <w:r w:rsidRPr="002277D5">
        <w:rPr>
          <w:rFonts w:ascii="Times New Roman" w:eastAsia="標楷體" w:hAnsi="Times New Roman" w:cs="Times New Roman"/>
          <w:sz w:val="24"/>
          <w:szCs w:val="28"/>
        </w:rPr>
        <w:t xml:space="preserve">       </w:t>
      </w:r>
      <w:r w:rsidR="00AC102A" w:rsidRPr="002277D5">
        <w:rPr>
          <w:rFonts w:ascii="Times New Roman" w:eastAsia="標楷體" w:hAnsi="Times New Roman" w:cs="Times New Roman" w:hint="eastAsia"/>
          <w:sz w:val="24"/>
          <w:szCs w:val="28"/>
        </w:rPr>
        <w:t xml:space="preserve">  </w:t>
      </w:r>
      <w:r w:rsidR="002611CC" w:rsidRPr="002277D5">
        <w:rPr>
          <w:rFonts w:ascii="Times New Roman" w:eastAsia="標楷體" w:hAnsi="Times New Roman" w:cs="Times New Roman"/>
          <w:sz w:val="24"/>
          <w:szCs w:val="28"/>
        </w:rPr>
        <w:t>2</w:t>
      </w:r>
      <w:r w:rsidR="002611CC" w:rsidRPr="002277D5">
        <w:rPr>
          <w:rFonts w:ascii="Times New Roman" w:eastAsia="標楷體" w:hAnsi="Times New Roman" w:cs="Times New Roman"/>
          <w:sz w:val="24"/>
          <w:szCs w:val="28"/>
          <w:lang w:eastAsia="zh-HK"/>
        </w:rPr>
        <w:t>、</w:t>
      </w:r>
      <w:r w:rsidR="00604133" w:rsidRPr="002277D5">
        <w:rPr>
          <w:rFonts w:ascii="Times New Roman" w:eastAsia="標楷體" w:hAnsi="Times New Roman" w:cs="Times New Roman" w:hint="eastAsia"/>
          <w:sz w:val="24"/>
          <w:szCs w:val="28"/>
          <w:lang w:eastAsia="zh-HK"/>
        </w:rPr>
        <w:t>評鑑為「條件式通過」。該</w:t>
      </w:r>
      <w:r w:rsidR="005342AF" w:rsidRPr="002277D5">
        <w:rPr>
          <w:rFonts w:ascii="Times New Roman" w:eastAsia="標楷體" w:hAnsi="Times New Roman" w:cs="Times New Roman" w:hint="eastAsia"/>
          <w:sz w:val="24"/>
          <w:szCs w:val="28"/>
        </w:rPr>
        <w:t>研</w:t>
      </w:r>
      <w:r w:rsidR="00604133" w:rsidRPr="002277D5">
        <w:rPr>
          <w:rFonts w:ascii="Times New Roman" w:eastAsia="標楷體" w:hAnsi="Times New Roman" w:cs="Times New Roman" w:hint="eastAsia"/>
          <w:sz w:val="24"/>
          <w:szCs w:val="28"/>
          <w:lang w:eastAsia="zh-HK"/>
        </w:rPr>
        <w:t>究中心應於當年度</w:t>
      </w:r>
      <w:r w:rsidR="000407AA" w:rsidRPr="002277D5">
        <w:rPr>
          <w:rFonts w:ascii="Times New Roman" w:eastAsia="標楷體" w:hAnsi="Times New Roman" w:cs="Times New Roman" w:hint="eastAsia"/>
          <w:sz w:val="24"/>
          <w:szCs w:val="28"/>
        </w:rPr>
        <w:t>校級</w:t>
      </w:r>
      <w:r w:rsidR="00604133" w:rsidRPr="002277D5">
        <w:rPr>
          <w:rFonts w:ascii="Times New Roman" w:eastAsia="標楷體" w:hAnsi="Times New Roman" w:cs="Times New Roman" w:hint="eastAsia"/>
          <w:sz w:val="24"/>
          <w:szCs w:val="28"/>
          <w:lang w:eastAsia="zh-HK"/>
        </w:rPr>
        <w:t>會議結束後一個月內繳交改善計畫書送至評鑑委員會核備，由研發處提報次年度</w:t>
      </w:r>
      <w:r w:rsidR="00604133" w:rsidRPr="002277D5">
        <w:rPr>
          <w:rFonts w:ascii="Times New Roman" w:eastAsia="標楷體" w:hAnsi="Times New Roman" w:cs="Times New Roman" w:hint="eastAsia"/>
          <w:sz w:val="24"/>
          <w:szCs w:val="28"/>
          <w:lang w:eastAsia="zh-HK"/>
        </w:rPr>
        <w:lastRenderedPageBreak/>
        <w:t>第一次管理委員會審查，且隔年度再次接受評鑑，隔年度之評鑑成績計分方式為前一年度評鑑成績一半加上當年度成績</w:t>
      </w:r>
      <w:r w:rsidR="00FA3535" w:rsidRPr="002277D5">
        <w:rPr>
          <w:rFonts w:ascii="Times New Roman" w:eastAsia="標楷體" w:hAnsi="Times New Roman" w:cs="Times New Roman"/>
          <w:sz w:val="24"/>
          <w:szCs w:val="28"/>
        </w:rPr>
        <w:t>。</w:t>
      </w:r>
    </w:p>
    <w:p w:rsidR="00FA3535" w:rsidRPr="002277D5" w:rsidRDefault="002D1E38" w:rsidP="00FA3535">
      <w:pPr>
        <w:snapToGrid w:val="0"/>
        <w:spacing w:line="240" w:lineRule="auto"/>
        <w:ind w:left="1560" w:hangingChars="650" w:hanging="1560"/>
        <w:jc w:val="both"/>
        <w:rPr>
          <w:rFonts w:ascii="Times New Roman" w:eastAsia="標楷體" w:hAnsi="Times New Roman" w:cs="Times New Roman"/>
          <w:sz w:val="24"/>
          <w:szCs w:val="28"/>
        </w:rPr>
      </w:pPr>
      <w:r w:rsidRPr="002277D5">
        <w:rPr>
          <w:rFonts w:ascii="Times New Roman" w:eastAsia="標楷體" w:hAnsi="Times New Roman" w:cs="Times New Roman"/>
          <w:sz w:val="24"/>
          <w:szCs w:val="28"/>
        </w:rPr>
        <w:t xml:space="preserve">       </w:t>
      </w:r>
      <w:r w:rsidR="00AC102A" w:rsidRPr="002277D5">
        <w:rPr>
          <w:rFonts w:ascii="Times New Roman" w:eastAsia="標楷體" w:hAnsi="Times New Roman" w:cs="Times New Roman" w:hint="eastAsia"/>
          <w:sz w:val="24"/>
          <w:szCs w:val="28"/>
        </w:rPr>
        <w:t xml:space="preserve">  </w:t>
      </w:r>
      <w:r w:rsidR="00FA3535" w:rsidRPr="002277D5">
        <w:rPr>
          <w:rFonts w:ascii="Times New Roman" w:eastAsia="標楷體" w:hAnsi="Times New Roman" w:cs="Times New Roman" w:hint="eastAsia"/>
          <w:sz w:val="24"/>
          <w:szCs w:val="28"/>
        </w:rPr>
        <w:t>3</w:t>
      </w:r>
      <w:r w:rsidR="00FA3535" w:rsidRPr="002277D5">
        <w:rPr>
          <w:rFonts w:ascii="Times New Roman" w:eastAsia="標楷體" w:hAnsi="Times New Roman" w:cs="Times New Roman"/>
          <w:sz w:val="24"/>
          <w:szCs w:val="28"/>
          <w:lang w:eastAsia="zh-HK"/>
        </w:rPr>
        <w:t>、評鑑為「</w:t>
      </w:r>
      <w:r w:rsidR="00024962" w:rsidRPr="002277D5">
        <w:rPr>
          <w:rFonts w:ascii="Times New Roman" w:eastAsia="標楷體" w:hAnsi="Times New Roman" w:cs="Times New Roman" w:hint="eastAsia"/>
          <w:sz w:val="24"/>
          <w:szCs w:val="28"/>
        </w:rPr>
        <w:t>不</w:t>
      </w:r>
      <w:r w:rsidR="00FA3535" w:rsidRPr="002277D5">
        <w:rPr>
          <w:rFonts w:ascii="Times New Roman" w:eastAsia="標楷體" w:hAnsi="Times New Roman" w:cs="Times New Roman"/>
          <w:sz w:val="24"/>
          <w:szCs w:val="28"/>
          <w:lang w:eastAsia="zh-HK"/>
        </w:rPr>
        <w:t>通過」，</w:t>
      </w:r>
      <w:r w:rsidR="00024962" w:rsidRPr="002277D5">
        <w:rPr>
          <w:rFonts w:ascii="Times New Roman" w:eastAsia="標楷體" w:hAnsi="Times New Roman" w:cs="Times New Roman" w:hint="eastAsia"/>
          <w:sz w:val="24"/>
          <w:szCs w:val="28"/>
        </w:rPr>
        <w:t>予以裁撤。</w:t>
      </w:r>
    </w:p>
    <w:p w:rsidR="00265F37" w:rsidRPr="002277D5" w:rsidRDefault="002D1E38" w:rsidP="00FA3535">
      <w:pPr>
        <w:snapToGrid w:val="0"/>
        <w:spacing w:line="240" w:lineRule="auto"/>
        <w:ind w:left="1560" w:hangingChars="650" w:hanging="1560"/>
        <w:jc w:val="both"/>
        <w:rPr>
          <w:rFonts w:ascii="Times New Roman" w:eastAsia="標楷體" w:hAnsi="Times New Roman" w:cs="Times New Roman"/>
          <w:sz w:val="24"/>
          <w:szCs w:val="28"/>
          <w:lang w:eastAsia="zh-HK"/>
        </w:rPr>
      </w:pPr>
      <w:r w:rsidRPr="002277D5">
        <w:rPr>
          <w:rFonts w:ascii="Times New Roman" w:eastAsia="標楷體" w:hAnsi="Times New Roman" w:cs="Times New Roman" w:hint="eastAsia"/>
          <w:sz w:val="24"/>
          <w:szCs w:val="28"/>
        </w:rPr>
        <w:t xml:space="preserve">       </w:t>
      </w:r>
      <w:r w:rsidR="00AC102A" w:rsidRPr="002277D5">
        <w:rPr>
          <w:rFonts w:ascii="Times New Roman" w:eastAsia="標楷體" w:hAnsi="Times New Roman" w:cs="Times New Roman" w:hint="eastAsia"/>
          <w:sz w:val="24"/>
          <w:szCs w:val="28"/>
        </w:rPr>
        <w:t xml:space="preserve">  </w:t>
      </w:r>
      <w:r w:rsidR="00265F37" w:rsidRPr="002277D5">
        <w:rPr>
          <w:rFonts w:ascii="Times New Roman" w:eastAsia="標楷體" w:hAnsi="Times New Roman" w:cs="Times New Roman" w:hint="eastAsia"/>
          <w:sz w:val="24"/>
          <w:szCs w:val="28"/>
        </w:rPr>
        <w:t>4</w:t>
      </w:r>
      <w:r w:rsidR="00265F37" w:rsidRPr="002277D5">
        <w:rPr>
          <w:rFonts w:ascii="標楷體" w:eastAsia="標楷體" w:hAnsi="標楷體" w:cs="Times New Roman" w:hint="eastAsia"/>
          <w:sz w:val="24"/>
          <w:szCs w:val="28"/>
        </w:rPr>
        <w:t>、未繳交評鑑資料者，逕列為「不通過」。</w:t>
      </w:r>
    </w:p>
    <w:p w:rsidR="002611CC" w:rsidRPr="002277D5" w:rsidRDefault="00050493" w:rsidP="00DC7CF8">
      <w:pPr>
        <w:snapToGrid w:val="0"/>
        <w:spacing w:line="240" w:lineRule="auto"/>
        <w:ind w:left="480" w:hangingChars="200" w:hanging="480"/>
        <w:jc w:val="both"/>
        <w:rPr>
          <w:rFonts w:ascii="Times New Roman" w:eastAsia="標楷體" w:hAnsi="Times New Roman"/>
          <w:sz w:val="24"/>
          <w:szCs w:val="28"/>
          <w:lang w:eastAsia="zh-HK"/>
        </w:rPr>
      </w:pPr>
      <w:r w:rsidRPr="002277D5">
        <w:rPr>
          <w:rFonts w:ascii="Times New Roman" w:eastAsia="標楷體" w:hAnsi="Times New Roman" w:hint="eastAsia"/>
          <w:sz w:val="24"/>
          <w:szCs w:val="28"/>
        </w:rPr>
        <w:t>五</w:t>
      </w:r>
      <w:r w:rsidR="00DC7CF8" w:rsidRPr="002277D5">
        <w:rPr>
          <w:rFonts w:ascii="Times New Roman" w:eastAsia="標楷體" w:hAnsi="Times New Roman" w:hint="eastAsia"/>
          <w:sz w:val="24"/>
          <w:szCs w:val="28"/>
          <w:lang w:eastAsia="zh-HK"/>
        </w:rPr>
        <w:t>、</w:t>
      </w:r>
      <w:r w:rsidR="00AA1032" w:rsidRPr="002277D5">
        <w:rPr>
          <w:rFonts w:ascii="Times New Roman" w:eastAsia="標楷體" w:hAnsi="Times New Roman" w:hint="eastAsia"/>
          <w:sz w:val="24"/>
          <w:szCs w:val="28"/>
          <w:lang w:eastAsia="zh-HK"/>
        </w:rPr>
        <w:t>研究中心之改善建議事項，由</w:t>
      </w:r>
      <w:r w:rsidR="003C47FE" w:rsidRPr="002277D5">
        <w:rPr>
          <w:rFonts w:ascii="Times New Roman" w:eastAsia="標楷體" w:hAnsi="Times New Roman" w:hint="eastAsia"/>
          <w:sz w:val="24"/>
          <w:szCs w:val="28"/>
        </w:rPr>
        <w:t>本</w:t>
      </w:r>
      <w:r w:rsidR="00AA1032" w:rsidRPr="002277D5">
        <w:rPr>
          <w:rFonts w:ascii="Times New Roman" w:eastAsia="標楷體" w:hAnsi="Times New Roman" w:hint="eastAsia"/>
          <w:sz w:val="24"/>
          <w:szCs w:val="28"/>
          <w:lang w:eastAsia="zh-HK"/>
        </w:rPr>
        <w:t>院進行後續追蹤，並由</w:t>
      </w:r>
      <w:r w:rsidR="003C47FE" w:rsidRPr="002277D5">
        <w:rPr>
          <w:rFonts w:ascii="Times New Roman" w:eastAsia="標楷體" w:hAnsi="Times New Roman" w:hint="eastAsia"/>
          <w:sz w:val="24"/>
          <w:szCs w:val="28"/>
        </w:rPr>
        <w:t>本</w:t>
      </w:r>
      <w:r w:rsidR="00AA1032" w:rsidRPr="002277D5">
        <w:rPr>
          <w:rFonts w:ascii="Times New Roman" w:eastAsia="標楷體" w:hAnsi="Times New Roman" w:hint="eastAsia"/>
          <w:sz w:val="24"/>
          <w:szCs w:val="28"/>
          <w:lang w:eastAsia="zh-HK"/>
        </w:rPr>
        <w:t>院將改善措施與執行情形，提送次年度第一次本校研究中心管理委員會審議</w:t>
      </w:r>
      <w:r w:rsidR="00DC7CF8" w:rsidRPr="002277D5">
        <w:rPr>
          <w:rFonts w:ascii="Times New Roman" w:eastAsia="標楷體" w:hAnsi="Times New Roman" w:hint="eastAsia"/>
          <w:sz w:val="24"/>
          <w:szCs w:val="28"/>
          <w:lang w:eastAsia="zh-HK"/>
        </w:rPr>
        <w:t>。</w:t>
      </w:r>
    </w:p>
    <w:p w:rsidR="0007275E" w:rsidRPr="002277D5" w:rsidRDefault="0007275E" w:rsidP="00DC7CF8">
      <w:pPr>
        <w:snapToGrid w:val="0"/>
        <w:spacing w:line="240" w:lineRule="auto"/>
        <w:ind w:left="480" w:hangingChars="200" w:hanging="480"/>
        <w:jc w:val="both"/>
        <w:rPr>
          <w:rFonts w:ascii="Times New Roman" w:eastAsia="標楷體" w:hAnsi="Times New Roman"/>
          <w:sz w:val="24"/>
          <w:szCs w:val="28"/>
          <w:lang w:eastAsia="zh-HK"/>
        </w:rPr>
      </w:pPr>
      <w:r w:rsidRPr="002277D5">
        <w:rPr>
          <w:rFonts w:ascii="Times New Roman" w:eastAsia="標楷體" w:hAnsi="Times New Roman" w:hint="eastAsia"/>
          <w:sz w:val="24"/>
          <w:szCs w:val="28"/>
        </w:rPr>
        <w:t xml:space="preserve">    </w:t>
      </w:r>
      <w:r w:rsidR="00AA1032" w:rsidRPr="002277D5">
        <w:rPr>
          <w:rFonts w:ascii="Times New Roman" w:eastAsia="標楷體" w:hAnsi="Times New Roman" w:hint="eastAsia"/>
          <w:sz w:val="24"/>
          <w:szCs w:val="28"/>
          <w:lang w:eastAsia="zh-HK"/>
        </w:rPr>
        <w:t>對評鑑結果有異議者，得於評鑑結果通知送達後一個月內，以書面敘明理由並提供證明文件，向評鑑委員會提出申復，</w:t>
      </w:r>
      <w:r w:rsidR="00644AAC" w:rsidRPr="002277D5">
        <w:rPr>
          <w:rFonts w:ascii="Times New Roman" w:eastAsia="標楷體" w:hAnsi="Times New Roman" w:hint="eastAsia"/>
          <w:sz w:val="24"/>
          <w:szCs w:val="28"/>
          <w:lang w:eastAsia="zh-HK"/>
        </w:rPr>
        <w:t>評鑑委員會需於二月底前將結果再送本校評鑑委員會審議</w:t>
      </w:r>
      <w:r w:rsidR="00AA1032" w:rsidRPr="002277D5">
        <w:rPr>
          <w:rFonts w:ascii="Times New Roman" w:eastAsia="標楷體" w:hAnsi="Times New Roman" w:hint="eastAsia"/>
          <w:sz w:val="24"/>
          <w:szCs w:val="28"/>
          <w:lang w:eastAsia="zh-HK"/>
        </w:rPr>
        <w:t>。</w:t>
      </w:r>
    </w:p>
    <w:p w:rsidR="0007275E" w:rsidRPr="002277D5" w:rsidRDefault="0007275E" w:rsidP="00DC7CF8">
      <w:pPr>
        <w:snapToGrid w:val="0"/>
        <w:spacing w:line="240" w:lineRule="auto"/>
        <w:ind w:left="480" w:hangingChars="200" w:hanging="480"/>
        <w:jc w:val="both"/>
        <w:rPr>
          <w:rFonts w:ascii="Times New Roman" w:eastAsia="標楷體" w:hAnsi="Times New Roman"/>
          <w:sz w:val="24"/>
          <w:szCs w:val="28"/>
          <w:lang w:eastAsia="zh-HK"/>
        </w:rPr>
      </w:pPr>
      <w:r w:rsidRPr="002277D5">
        <w:rPr>
          <w:rFonts w:ascii="Times New Roman" w:eastAsia="標楷體" w:hAnsi="Times New Roman" w:hint="eastAsia"/>
          <w:sz w:val="24"/>
          <w:szCs w:val="28"/>
        </w:rPr>
        <w:t xml:space="preserve">    </w:t>
      </w:r>
      <w:r w:rsidR="00AA1032" w:rsidRPr="002277D5">
        <w:rPr>
          <w:rFonts w:ascii="Times New Roman" w:eastAsia="標楷體" w:hAnsi="Times New Roman" w:hint="eastAsia"/>
          <w:sz w:val="24"/>
          <w:szCs w:val="28"/>
        </w:rPr>
        <w:t>評鑑委員會接受申復時，評鑑委員會得採書面或實地重行審議。申復以一次為限，同一申復案被否決後，不得再提申復</w:t>
      </w:r>
      <w:r w:rsidR="00AA1032" w:rsidRPr="002277D5">
        <w:rPr>
          <w:rFonts w:ascii="標楷體" w:eastAsia="標楷體" w:hAnsi="標楷體" w:hint="eastAsia"/>
          <w:sz w:val="24"/>
          <w:szCs w:val="28"/>
        </w:rPr>
        <w:t>。</w:t>
      </w:r>
    </w:p>
    <w:p w:rsidR="00740FF4" w:rsidRPr="002277D5" w:rsidRDefault="00050493">
      <w:pPr>
        <w:rPr>
          <w:rFonts w:ascii="Times New Roman" w:eastAsia="標楷體" w:hAnsi="Times New Roman"/>
          <w:sz w:val="24"/>
          <w:szCs w:val="28"/>
        </w:rPr>
      </w:pPr>
      <w:r w:rsidRPr="002277D5">
        <w:rPr>
          <w:rFonts w:ascii="Times New Roman" w:eastAsia="標楷體" w:hAnsi="Times New Roman" w:hint="eastAsia"/>
          <w:sz w:val="24"/>
          <w:szCs w:val="28"/>
        </w:rPr>
        <w:t>六</w:t>
      </w:r>
      <w:r w:rsidR="00740FF4" w:rsidRPr="002277D5">
        <w:rPr>
          <w:rFonts w:ascii="Times New Roman" w:eastAsia="標楷體" w:hAnsi="Times New Roman" w:hint="eastAsia"/>
          <w:sz w:val="24"/>
          <w:szCs w:val="28"/>
          <w:lang w:eastAsia="zh-HK"/>
        </w:rPr>
        <w:t>、本要點未盡事宜，悉依相關法令及本校相關規定辦理。</w:t>
      </w:r>
    </w:p>
    <w:p w:rsidR="00740FF4" w:rsidRPr="002277D5" w:rsidRDefault="00050493" w:rsidP="00851F17">
      <w:pPr>
        <w:snapToGrid w:val="0"/>
        <w:spacing w:line="240" w:lineRule="auto"/>
        <w:ind w:left="480" w:hangingChars="200" w:hanging="480"/>
        <w:rPr>
          <w:rFonts w:ascii="Times New Roman" w:eastAsia="標楷體" w:hAnsi="Times New Roman"/>
          <w:sz w:val="24"/>
          <w:szCs w:val="28"/>
        </w:rPr>
      </w:pPr>
      <w:r w:rsidRPr="002277D5">
        <w:rPr>
          <w:rFonts w:ascii="Times New Roman" w:eastAsia="標楷體" w:hAnsi="Times New Roman" w:hint="eastAsia"/>
          <w:sz w:val="24"/>
          <w:szCs w:val="28"/>
        </w:rPr>
        <w:t>七</w:t>
      </w:r>
      <w:r w:rsidR="00740FF4" w:rsidRPr="002277D5">
        <w:rPr>
          <w:rFonts w:ascii="Times New Roman" w:eastAsia="標楷體" w:hAnsi="Times New Roman" w:hint="eastAsia"/>
          <w:sz w:val="24"/>
          <w:szCs w:val="28"/>
          <w:lang w:eastAsia="zh-HK"/>
        </w:rPr>
        <w:t>、本要點經本院主管會議</w:t>
      </w:r>
      <w:r w:rsidR="00851F17" w:rsidRPr="002277D5">
        <w:rPr>
          <w:rFonts w:ascii="Times New Roman" w:eastAsia="標楷體" w:hAnsi="Times New Roman" w:hint="eastAsia"/>
          <w:sz w:val="24"/>
          <w:szCs w:val="28"/>
        </w:rPr>
        <w:t>及</w:t>
      </w:r>
      <w:r w:rsidR="001562AA" w:rsidRPr="002277D5">
        <w:rPr>
          <w:rFonts w:ascii="Times New Roman" w:eastAsia="標楷體" w:hAnsi="Times New Roman" w:hint="eastAsia"/>
          <w:sz w:val="24"/>
          <w:szCs w:val="28"/>
        </w:rPr>
        <w:t>本校</w:t>
      </w:r>
      <w:r w:rsidR="00851F17" w:rsidRPr="002277D5">
        <w:rPr>
          <w:rFonts w:ascii="Times New Roman" w:eastAsia="標楷體" w:hAnsi="Times New Roman" w:hint="eastAsia"/>
          <w:sz w:val="24"/>
          <w:szCs w:val="28"/>
        </w:rPr>
        <w:t>研究中心管理委員會</w:t>
      </w:r>
      <w:r w:rsidR="00740FF4" w:rsidRPr="002277D5">
        <w:rPr>
          <w:rFonts w:ascii="Times New Roman" w:eastAsia="標楷體" w:hAnsi="Times New Roman" w:hint="eastAsia"/>
          <w:sz w:val="24"/>
          <w:szCs w:val="28"/>
          <w:lang w:eastAsia="zh-HK"/>
        </w:rPr>
        <w:t>通過</w:t>
      </w:r>
      <w:r w:rsidR="00851F17" w:rsidRPr="002277D5">
        <w:rPr>
          <w:rFonts w:ascii="Times New Roman" w:eastAsia="標楷體" w:hAnsi="Times New Roman" w:cs="Times New Roman"/>
          <w:sz w:val="24"/>
          <w:szCs w:val="24"/>
        </w:rPr>
        <w:t>，陳請校長核定</w:t>
      </w:r>
      <w:r w:rsidR="00740FF4" w:rsidRPr="002277D5">
        <w:rPr>
          <w:rFonts w:ascii="Times New Roman" w:eastAsia="標楷體" w:hAnsi="Times New Roman" w:hint="eastAsia"/>
          <w:sz w:val="24"/>
          <w:szCs w:val="28"/>
          <w:lang w:eastAsia="zh-HK"/>
        </w:rPr>
        <w:t>後實施，修正時亦同。</w:t>
      </w:r>
    </w:p>
    <w:sectPr w:rsidR="00740FF4" w:rsidRPr="002277D5" w:rsidSect="001B50F5">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04D" w:rsidRDefault="00AB204D" w:rsidP="00DC7BD8">
      <w:pPr>
        <w:spacing w:after="0" w:line="240" w:lineRule="auto"/>
      </w:pPr>
      <w:r>
        <w:separator/>
      </w:r>
    </w:p>
  </w:endnote>
  <w:endnote w:type="continuationSeparator" w:id="0">
    <w:p w:rsidR="00AB204D" w:rsidRDefault="00AB204D" w:rsidP="00DC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04D" w:rsidRDefault="00AB204D" w:rsidP="00DC7BD8">
      <w:pPr>
        <w:spacing w:after="0" w:line="240" w:lineRule="auto"/>
      </w:pPr>
      <w:r>
        <w:separator/>
      </w:r>
    </w:p>
  </w:footnote>
  <w:footnote w:type="continuationSeparator" w:id="0">
    <w:p w:rsidR="00AB204D" w:rsidRDefault="00AB204D" w:rsidP="00DC7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135E"/>
    <w:multiLevelType w:val="hybridMultilevel"/>
    <w:tmpl w:val="E0A807AC"/>
    <w:lvl w:ilvl="0" w:tplc="4C8264EA">
      <w:start w:val="1"/>
      <w:numFmt w:val="decimal"/>
      <w:lvlText w:val="%1."/>
      <w:lvlJc w:val="left"/>
      <w:pPr>
        <w:ind w:left="1243" w:hanging="360"/>
      </w:pPr>
      <w:rPr>
        <w:rFonts w:hint="default"/>
      </w:rPr>
    </w:lvl>
    <w:lvl w:ilvl="1" w:tplc="04090019" w:tentative="1">
      <w:start w:val="1"/>
      <w:numFmt w:val="ideographTraditional"/>
      <w:lvlText w:val="%2、"/>
      <w:lvlJc w:val="left"/>
      <w:pPr>
        <w:ind w:left="1843" w:hanging="480"/>
      </w:pPr>
    </w:lvl>
    <w:lvl w:ilvl="2" w:tplc="0409001B" w:tentative="1">
      <w:start w:val="1"/>
      <w:numFmt w:val="lowerRoman"/>
      <w:lvlText w:val="%3."/>
      <w:lvlJc w:val="right"/>
      <w:pPr>
        <w:ind w:left="2323" w:hanging="480"/>
      </w:pPr>
    </w:lvl>
    <w:lvl w:ilvl="3" w:tplc="0409000F" w:tentative="1">
      <w:start w:val="1"/>
      <w:numFmt w:val="decimal"/>
      <w:lvlText w:val="%4."/>
      <w:lvlJc w:val="left"/>
      <w:pPr>
        <w:ind w:left="2803" w:hanging="480"/>
      </w:pPr>
    </w:lvl>
    <w:lvl w:ilvl="4" w:tplc="04090019" w:tentative="1">
      <w:start w:val="1"/>
      <w:numFmt w:val="ideographTraditional"/>
      <w:lvlText w:val="%5、"/>
      <w:lvlJc w:val="left"/>
      <w:pPr>
        <w:ind w:left="3283" w:hanging="480"/>
      </w:pPr>
    </w:lvl>
    <w:lvl w:ilvl="5" w:tplc="0409001B" w:tentative="1">
      <w:start w:val="1"/>
      <w:numFmt w:val="lowerRoman"/>
      <w:lvlText w:val="%6."/>
      <w:lvlJc w:val="right"/>
      <w:pPr>
        <w:ind w:left="3763" w:hanging="480"/>
      </w:pPr>
    </w:lvl>
    <w:lvl w:ilvl="6" w:tplc="0409000F" w:tentative="1">
      <w:start w:val="1"/>
      <w:numFmt w:val="decimal"/>
      <w:lvlText w:val="%7."/>
      <w:lvlJc w:val="left"/>
      <w:pPr>
        <w:ind w:left="4243" w:hanging="480"/>
      </w:pPr>
    </w:lvl>
    <w:lvl w:ilvl="7" w:tplc="04090019" w:tentative="1">
      <w:start w:val="1"/>
      <w:numFmt w:val="ideographTraditional"/>
      <w:lvlText w:val="%8、"/>
      <w:lvlJc w:val="left"/>
      <w:pPr>
        <w:ind w:left="4723" w:hanging="480"/>
      </w:pPr>
    </w:lvl>
    <w:lvl w:ilvl="8" w:tplc="0409001B" w:tentative="1">
      <w:start w:val="1"/>
      <w:numFmt w:val="lowerRoman"/>
      <w:lvlText w:val="%9."/>
      <w:lvlJc w:val="right"/>
      <w:pPr>
        <w:ind w:left="5203" w:hanging="480"/>
      </w:pPr>
    </w:lvl>
  </w:abstractNum>
  <w:abstractNum w:abstractNumId="1" w15:restartNumberingAfterBreak="0">
    <w:nsid w:val="793A7AD9"/>
    <w:multiLevelType w:val="hybridMultilevel"/>
    <w:tmpl w:val="A4C4853A"/>
    <w:lvl w:ilvl="0" w:tplc="A170B0F8">
      <w:start w:val="1"/>
      <w:numFmt w:val="taiwaneseCountingThousand"/>
      <w:lvlText w:val="(%1)"/>
      <w:lvlJc w:val="left"/>
      <w:pPr>
        <w:ind w:left="850" w:hanging="480"/>
      </w:pPr>
      <w:rPr>
        <w:rFonts w:hint="default"/>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2"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B9"/>
    <w:rsid w:val="00024962"/>
    <w:rsid w:val="00033E03"/>
    <w:rsid w:val="000407AA"/>
    <w:rsid w:val="00041DFE"/>
    <w:rsid w:val="00050493"/>
    <w:rsid w:val="000530CB"/>
    <w:rsid w:val="00054164"/>
    <w:rsid w:val="0007275E"/>
    <w:rsid w:val="000A54E6"/>
    <w:rsid w:val="000A65B5"/>
    <w:rsid w:val="000C2C31"/>
    <w:rsid w:val="000F0D73"/>
    <w:rsid w:val="00107A72"/>
    <w:rsid w:val="0011156F"/>
    <w:rsid w:val="0011545D"/>
    <w:rsid w:val="00116C47"/>
    <w:rsid w:val="00131DEB"/>
    <w:rsid w:val="00140AFC"/>
    <w:rsid w:val="001562AA"/>
    <w:rsid w:val="001630F4"/>
    <w:rsid w:val="00165031"/>
    <w:rsid w:val="00196B96"/>
    <w:rsid w:val="001A2ECE"/>
    <w:rsid w:val="001B486E"/>
    <w:rsid w:val="001B50F5"/>
    <w:rsid w:val="001B6A84"/>
    <w:rsid w:val="001B7395"/>
    <w:rsid w:val="001C6633"/>
    <w:rsid w:val="001D7FC4"/>
    <w:rsid w:val="00205497"/>
    <w:rsid w:val="00207F57"/>
    <w:rsid w:val="00215EBB"/>
    <w:rsid w:val="002277D5"/>
    <w:rsid w:val="00241BFE"/>
    <w:rsid w:val="00243ADB"/>
    <w:rsid w:val="002512D2"/>
    <w:rsid w:val="002611CC"/>
    <w:rsid w:val="00265F37"/>
    <w:rsid w:val="0026724A"/>
    <w:rsid w:val="0027077D"/>
    <w:rsid w:val="002777B3"/>
    <w:rsid w:val="00281574"/>
    <w:rsid w:val="00282F6B"/>
    <w:rsid w:val="00285485"/>
    <w:rsid w:val="0028646A"/>
    <w:rsid w:val="002B4A2C"/>
    <w:rsid w:val="002D1E38"/>
    <w:rsid w:val="002D4975"/>
    <w:rsid w:val="002F051B"/>
    <w:rsid w:val="003202C6"/>
    <w:rsid w:val="0033012C"/>
    <w:rsid w:val="0034348F"/>
    <w:rsid w:val="003638D8"/>
    <w:rsid w:val="00366339"/>
    <w:rsid w:val="00367EA6"/>
    <w:rsid w:val="0037289A"/>
    <w:rsid w:val="0038691F"/>
    <w:rsid w:val="00390C98"/>
    <w:rsid w:val="003B6C6B"/>
    <w:rsid w:val="003C0FB4"/>
    <w:rsid w:val="003C47FE"/>
    <w:rsid w:val="003C5F2E"/>
    <w:rsid w:val="003D2EA9"/>
    <w:rsid w:val="003D377A"/>
    <w:rsid w:val="003E1DB9"/>
    <w:rsid w:val="003F7964"/>
    <w:rsid w:val="004049DB"/>
    <w:rsid w:val="004445B9"/>
    <w:rsid w:val="004741D5"/>
    <w:rsid w:val="00485880"/>
    <w:rsid w:val="00492B23"/>
    <w:rsid w:val="004B45E0"/>
    <w:rsid w:val="004C4DD3"/>
    <w:rsid w:val="004F4425"/>
    <w:rsid w:val="00507CF6"/>
    <w:rsid w:val="0051511B"/>
    <w:rsid w:val="005342AF"/>
    <w:rsid w:val="0054081A"/>
    <w:rsid w:val="00541A0F"/>
    <w:rsid w:val="00542408"/>
    <w:rsid w:val="00545CAF"/>
    <w:rsid w:val="00546777"/>
    <w:rsid w:val="00575E59"/>
    <w:rsid w:val="0058029D"/>
    <w:rsid w:val="00584E55"/>
    <w:rsid w:val="00585BDF"/>
    <w:rsid w:val="00592B5F"/>
    <w:rsid w:val="00594018"/>
    <w:rsid w:val="005946F2"/>
    <w:rsid w:val="00595BA2"/>
    <w:rsid w:val="005A45B0"/>
    <w:rsid w:val="005B2181"/>
    <w:rsid w:val="005B5B15"/>
    <w:rsid w:val="005C36F6"/>
    <w:rsid w:val="005D1CCE"/>
    <w:rsid w:val="005D32FA"/>
    <w:rsid w:val="005E221F"/>
    <w:rsid w:val="005E3C47"/>
    <w:rsid w:val="005E7A10"/>
    <w:rsid w:val="005F3345"/>
    <w:rsid w:val="005F496D"/>
    <w:rsid w:val="00604133"/>
    <w:rsid w:val="00607E63"/>
    <w:rsid w:val="00621C45"/>
    <w:rsid w:val="00644AAC"/>
    <w:rsid w:val="00667212"/>
    <w:rsid w:val="00676274"/>
    <w:rsid w:val="006770BC"/>
    <w:rsid w:val="00684C4F"/>
    <w:rsid w:val="006955C6"/>
    <w:rsid w:val="006A6074"/>
    <w:rsid w:val="006C12AF"/>
    <w:rsid w:val="006C3E05"/>
    <w:rsid w:val="006E4BF9"/>
    <w:rsid w:val="006F4943"/>
    <w:rsid w:val="00701AEC"/>
    <w:rsid w:val="0071095D"/>
    <w:rsid w:val="0071297C"/>
    <w:rsid w:val="0073040B"/>
    <w:rsid w:val="00731B37"/>
    <w:rsid w:val="00732BF3"/>
    <w:rsid w:val="00740FF4"/>
    <w:rsid w:val="00742FD8"/>
    <w:rsid w:val="00750697"/>
    <w:rsid w:val="00770D71"/>
    <w:rsid w:val="007769F9"/>
    <w:rsid w:val="00782A3F"/>
    <w:rsid w:val="007867E2"/>
    <w:rsid w:val="00792674"/>
    <w:rsid w:val="007937D3"/>
    <w:rsid w:val="007A5C91"/>
    <w:rsid w:val="007B2B3F"/>
    <w:rsid w:val="007B362A"/>
    <w:rsid w:val="007D12E6"/>
    <w:rsid w:val="007D489E"/>
    <w:rsid w:val="007D4E97"/>
    <w:rsid w:val="007F12FB"/>
    <w:rsid w:val="00805D09"/>
    <w:rsid w:val="008133EE"/>
    <w:rsid w:val="00843610"/>
    <w:rsid w:val="00851F17"/>
    <w:rsid w:val="00856DCA"/>
    <w:rsid w:val="008624F4"/>
    <w:rsid w:val="00885E38"/>
    <w:rsid w:val="008942BC"/>
    <w:rsid w:val="008C75F6"/>
    <w:rsid w:val="008D25A6"/>
    <w:rsid w:val="008D406B"/>
    <w:rsid w:val="00910A7A"/>
    <w:rsid w:val="0091501E"/>
    <w:rsid w:val="00920143"/>
    <w:rsid w:val="0092042F"/>
    <w:rsid w:val="00925BCB"/>
    <w:rsid w:val="00934702"/>
    <w:rsid w:val="00935B02"/>
    <w:rsid w:val="00935B20"/>
    <w:rsid w:val="00946093"/>
    <w:rsid w:val="0095302D"/>
    <w:rsid w:val="00962744"/>
    <w:rsid w:val="009A1359"/>
    <w:rsid w:val="009A452D"/>
    <w:rsid w:val="009A7EAE"/>
    <w:rsid w:val="009B22B5"/>
    <w:rsid w:val="009B3DEC"/>
    <w:rsid w:val="009D7B55"/>
    <w:rsid w:val="009E7CAF"/>
    <w:rsid w:val="00A052E9"/>
    <w:rsid w:val="00A414EB"/>
    <w:rsid w:val="00A71C77"/>
    <w:rsid w:val="00A71F5E"/>
    <w:rsid w:val="00A73922"/>
    <w:rsid w:val="00A77B18"/>
    <w:rsid w:val="00A830BC"/>
    <w:rsid w:val="00A8367E"/>
    <w:rsid w:val="00A87BB9"/>
    <w:rsid w:val="00A93E59"/>
    <w:rsid w:val="00A96AAF"/>
    <w:rsid w:val="00AA1032"/>
    <w:rsid w:val="00AB204D"/>
    <w:rsid w:val="00AC102A"/>
    <w:rsid w:val="00AC572D"/>
    <w:rsid w:val="00AE2013"/>
    <w:rsid w:val="00AF5495"/>
    <w:rsid w:val="00B02978"/>
    <w:rsid w:val="00B2004B"/>
    <w:rsid w:val="00B210AC"/>
    <w:rsid w:val="00B24C3D"/>
    <w:rsid w:val="00B33A02"/>
    <w:rsid w:val="00B33FD1"/>
    <w:rsid w:val="00B81644"/>
    <w:rsid w:val="00B874B0"/>
    <w:rsid w:val="00B92AD1"/>
    <w:rsid w:val="00B931FD"/>
    <w:rsid w:val="00BA1DBF"/>
    <w:rsid w:val="00BA57A6"/>
    <w:rsid w:val="00BA6561"/>
    <w:rsid w:val="00BF0084"/>
    <w:rsid w:val="00C02F82"/>
    <w:rsid w:val="00C14F50"/>
    <w:rsid w:val="00C25216"/>
    <w:rsid w:val="00C263B4"/>
    <w:rsid w:val="00C26A4E"/>
    <w:rsid w:val="00C44F00"/>
    <w:rsid w:val="00C47D2D"/>
    <w:rsid w:val="00C5191F"/>
    <w:rsid w:val="00C54F3E"/>
    <w:rsid w:val="00C83AF7"/>
    <w:rsid w:val="00C93EBD"/>
    <w:rsid w:val="00C95F3D"/>
    <w:rsid w:val="00CB3DB3"/>
    <w:rsid w:val="00D00EC9"/>
    <w:rsid w:val="00D33F4E"/>
    <w:rsid w:val="00D4297C"/>
    <w:rsid w:val="00D47F04"/>
    <w:rsid w:val="00D601AD"/>
    <w:rsid w:val="00D7163C"/>
    <w:rsid w:val="00D745BF"/>
    <w:rsid w:val="00D9685B"/>
    <w:rsid w:val="00DA1D26"/>
    <w:rsid w:val="00DA270D"/>
    <w:rsid w:val="00DB09CE"/>
    <w:rsid w:val="00DC7BD8"/>
    <w:rsid w:val="00DC7CF8"/>
    <w:rsid w:val="00DD59DC"/>
    <w:rsid w:val="00DE4FC3"/>
    <w:rsid w:val="00E0381B"/>
    <w:rsid w:val="00E23560"/>
    <w:rsid w:val="00E263D9"/>
    <w:rsid w:val="00E31EB9"/>
    <w:rsid w:val="00E325EA"/>
    <w:rsid w:val="00E3587D"/>
    <w:rsid w:val="00E36301"/>
    <w:rsid w:val="00E50821"/>
    <w:rsid w:val="00E53039"/>
    <w:rsid w:val="00E6143A"/>
    <w:rsid w:val="00E66BB8"/>
    <w:rsid w:val="00E80D54"/>
    <w:rsid w:val="00E948F7"/>
    <w:rsid w:val="00E953AB"/>
    <w:rsid w:val="00E95A6D"/>
    <w:rsid w:val="00EA0554"/>
    <w:rsid w:val="00EA640D"/>
    <w:rsid w:val="00EC042F"/>
    <w:rsid w:val="00EE2787"/>
    <w:rsid w:val="00F23D3D"/>
    <w:rsid w:val="00F43C99"/>
    <w:rsid w:val="00F549EA"/>
    <w:rsid w:val="00F810F9"/>
    <w:rsid w:val="00FA0127"/>
    <w:rsid w:val="00FA04AE"/>
    <w:rsid w:val="00FA3535"/>
    <w:rsid w:val="00FB37D7"/>
    <w:rsid w:val="00FE2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5E076D-D422-4B4F-9E83-32407CC5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2E9"/>
    <w:rPr>
      <w:iCs/>
      <w:sz w:val="21"/>
      <w:szCs w:val="21"/>
    </w:rPr>
  </w:style>
  <w:style w:type="paragraph" w:styleId="1">
    <w:name w:val="heading 1"/>
    <w:basedOn w:val="a0"/>
    <w:next w:val="a0"/>
    <w:link w:val="10"/>
    <w:uiPriority w:val="9"/>
    <w:qFormat/>
    <w:rsid w:val="00A052E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A052E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A052E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A052E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A052E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A052E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A052E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A052E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A052E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A052E9"/>
    <w:rPr>
      <w:rFonts w:asciiTheme="majorHAnsi" w:hAnsiTheme="majorHAnsi"/>
      <w:iCs/>
      <w:color w:val="FFFFFF"/>
      <w:sz w:val="28"/>
      <w:szCs w:val="38"/>
      <w:shd w:val="clear" w:color="auto" w:fill="4F81BD" w:themeFill="accent1"/>
    </w:rPr>
  </w:style>
  <w:style w:type="character" w:customStyle="1" w:styleId="20">
    <w:name w:val="標題 2 字元"/>
    <w:basedOn w:val="a1"/>
    <w:link w:val="2"/>
    <w:uiPriority w:val="9"/>
    <w:rsid w:val="00A052E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標題 3 字元"/>
    <w:basedOn w:val="a1"/>
    <w:link w:val="3"/>
    <w:uiPriority w:val="9"/>
    <w:semiHidden/>
    <w:rsid w:val="00A052E9"/>
    <w:rPr>
      <w:rFonts w:asciiTheme="majorHAnsi" w:eastAsiaTheme="majorEastAsia" w:hAnsiTheme="majorHAnsi" w:cstheme="majorBidi"/>
      <w:b/>
      <w:bCs/>
      <w:iCs/>
      <w:smallCaps/>
      <w:color w:val="943634" w:themeColor="accent2" w:themeShade="BF"/>
      <w:spacing w:val="24"/>
      <w:sz w:val="28"/>
    </w:rPr>
  </w:style>
  <w:style w:type="character" w:customStyle="1" w:styleId="40">
    <w:name w:val="標題 4 字元"/>
    <w:basedOn w:val="a1"/>
    <w:link w:val="4"/>
    <w:uiPriority w:val="9"/>
    <w:semiHidden/>
    <w:rsid w:val="00A052E9"/>
    <w:rPr>
      <w:rFonts w:asciiTheme="majorHAnsi" w:eastAsiaTheme="majorEastAsia" w:hAnsiTheme="majorHAnsi" w:cstheme="majorBidi"/>
      <w:b/>
      <w:bCs/>
      <w:iCs/>
      <w:color w:val="365F91" w:themeColor="accent1" w:themeShade="BF"/>
      <w:sz w:val="24"/>
    </w:rPr>
  </w:style>
  <w:style w:type="character" w:customStyle="1" w:styleId="50">
    <w:name w:val="標題 5 字元"/>
    <w:basedOn w:val="a1"/>
    <w:link w:val="5"/>
    <w:uiPriority w:val="9"/>
    <w:semiHidden/>
    <w:rsid w:val="00A052E9"/>
    <w:rPr>
      <w:rFonts w:asciiTheme="majorHAnsi" w:eastAsiaTheme="majorEastAsia" w:hAnsiTheme="majorHAnsi" w:cstheme="majorBidi"/>
      <w:bCs/>
      <w:iCs/>
      <w:caps/>
      <w:color w:val="943634" w:themeColor="accent2" w:themeShade="BF"/>
    </w:rPr>
  </w:style>
  <w:style w:type="character" w:customStyle="1" w:styleId="60">
    <w:name w:val="標題 6 字元"/>
    <w:basedOn w:val="a1"/>
    <w:link w:val="6"/>
    <w:uiPriority w:val="9"/>
    <w:semiHidden/>
    <w:rsid w:val="00A052E9"/>
    <w:rPr>
      <w:rFonts w:asciiTheme="majorHAnsi" w:eastAsiaTheme="majorEastAsia" w:hAnsiTheme="majorHAnsi" w:cstheme="majorBidi"/>
      <w:iCs/>
      <w:color w:val="365F91" w:themeColor="accent1" w:themeShade="BF"/>
    </w:rPr>
  </w:style>
  <w:style w:type="character" w:customStyle="1" w:styleId="70">
    <w:name w:val="標題 7 字元"/>
    <w:basedOn w:val="a1"/>
    <w:link w:val="7"/>
    <w:uiPriority w:val="9"/>
    <w:semiHidden/>
    <w:rsid w:val="00A052E9"/>
    <w:rPr>
      <w:rFonts w:asciiTheme="majorHAnsi" w:eastAsiaTheme="majorEastAsia" w:hAnsiTheme="majorHAnsi" w:cstheme="majorBidi"/>
      <w:iCs/>
      <w:color w:val="943634" w:themeColor="accent2" w:themeShade="BF"/>
    </w:rPr>
  </w:style>
  <w:style w:type="character" w:customStyle="1" w:styleId="80">
    <w:name w:val="標題 8 字元"/>
    <w:basedOn w:val="a1"/>
    <w:link w:val="8"/>
    <w:uiPriority w:val="9"/>
    <w:semiHidden/>
    <w:rsid w:val="00A052E9"/>
    <w:rPr>
      <w:rFonts w:asciiTheme="majorHAnsi" w:eastAsiaTheme="majorEastAsia" w:hAnsiTheme="majorHAnsi" w:cstheme="majorBidi"/>
      <w:iCs/>
      <w:color w:val="4F81BD" w:themeColor="accent1"/>
    </w:rPr>
  </w:style>
  <w:style w:type="character" w:customStyle="1" w:styleId="90">
    <w:name w:val="標題 9 字元"/>
    <w:basedOn w:val="a1"/>
    <w:link w:val="9"/>
    <w:uiPriority w:val="9"/>
    <w:semiHidden/>
    <w:rsid w:val="00A052E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A052E9"/>
    <w:rPr>
      <w:b/>
      <w:bCs/>
      <w:color w:val="943634" w:themeColor="accent2" w:themeShade="BF"/>
      <w:sz w:val="18"/>
      <w:szCs w:val="18"/>
    </w:rPr>
  </w:style>
  <w:style w:type="paragraph" w:styleId="a5">
    <w:name w:val="Title"/>
    <w:basedOn w:val="a0"/>
    <w:next w:val="a0"/>
    <w:link w:val="a6"/>
    <w:uiPriority w:val="10"/>
    <w:qFormat/>
    <w:rsid w:val="00A052E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標題 字元"/>
    <w:basedOn w:val="a1"/>
    <w:link w:val="a5"/>
    <w:uiPriority w:val="10"/>
    <w:rsid w:val="00A052E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A052E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標題 字元"/>
    <w:basedOn w:val="a1"/>
    <w:link w:val="a7"/>
    <w:uiPriority w:val="11"/>
    <w:rsid w:val="00A052E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A052E9"/>
    <w:rPr>
      <w:b/>
      <w:bCs/>
      <w:spacing w:val="0"/>
    </w:rPr>
  </w:style>
  <w:style w:type="character" w:styleId="aa">
    <w:name w:val="Emphasis"/>
    <w:uiPriority w:val="20"/>
    <w:qFormat/>
    <w:rsid w:val="00A052E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A052E9"/>
    <w:pPr>
      <w:spacing w:after="0" w:line="240" w:lineRule="auto"/>
    </w:pPr>
  </w:style>
  <w:style w:type="paragraph" w:styleId="a">
    <w:name w:val="List Paragraph"/>
    <w:basedOn w:val="a0"/>
    <w:uiPriority w:val="34"/>
    <w:qFormat/>
    <w:rsid w:val="00A052E9"/>
    <w:pPr>
      <w:numPr>
        <w:numId w:val="1"/>
      </w:numPr>
      <w:contextualSpacing/>
    </w:pPr>
    <w:rPr>
      <w:sz w:val="22"/>
    </w:rPr>
  </w:style>
  <w:style w:type="paragraph" w:styleId="ac">
    <w:name w:val="Quote"/>
    <w:basedOn w:val="a0"/>
    <w:next w:val="a0"/>
    <w:link w:val="ad"/>
    <w:uiPriority w:val="29"/>
    <w:qFormat/>
    <w:rsid w:val="00A052E9"/>
    <w:rPr>
      <w:b/>
      <w:i/>
      <w:color w:val="C0504D" w:themeColor="accent2"/>
      <w:sz w:val="24"/>
    </w:rPr>
  </w:style>
  <w:style w:type="character" w:customStyle="1" w:styleId="ad">
    <w:name w:val="引文 字元"/>
    <w:basedOn w:val="a1"/>
    <w:link w:val="ac"/>
    <w:uiPriority w:val="29"/>
    <w:rsid w:val="00A052E9"/>
    <w:rPr>
      <w:b/>
      <w:i/>
      <w:iCs/>
      <w:color w:val="C0504D" w:themeColor="accent2"/>
      <w:sz w:val="24"/>
      <w:szCs w:val="21"/>
    </w:rPr>
  </w:style>
  <w:style w:type="paragraph" w:styleId="ae">
    <w:name w:val="Intense Quote"/>
    <w:basedOn w:val="a0"/>
    <w:next w:val="a0"/>
    <w:link w:val="af"/>
    <w:uiPriority w:val="30"/>
    <w:qFormat/>
    <w:rsid w:val="00A052E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
    <w:name w:val="鮮明引文 字元"/>
    <w:basedOn w:val="a1"/>
    <w:link w:val="ae"/>
    <w:uiPriority w:val="30"/>
    <w:rsid w:val="00A052E9"/>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A052E9"/>
    <w:rPr>
      <w:rFonts w:asciiTheme="majorHAnsi" w:eastAsiaTheme="majorEastAsia" w:hAnsiTheme="majorHAnsi" w:cstheme="majorBidi"/>
      <w:b/>
      <w:i/>
      <w:color w:val="4F81BD" w:themeColor="accent1"/>
    </w:rPr>
  </w:style>
  <w:style w:type="character" w:styleId="af1">
    <w:name w:val="Intense Emphasis"/>
    <w:uiPriority w:val="21"/>
    <w:qFormat/>
    <w:rsid w:val="00A052E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A052E9"/>
    <w:rPr>
      <w:i/>
      <w:iCs/>
      <w:smallCaps/>
      <w:color w:val="C0504D" w:themeColor="accent2"/>
      <w:u w:color="C0504D" w:themeColor="accent2"/>
    </w:rPr>
  </w:style>
  <w:style w:type="character" w:styleId="af3">
    <w:name w:val="Intense Reference"/>
    <w:uiPriority w:val="32"/>
    <w:qFormat/>
    <w:rsid w:val="00A052E9"/>
    <w:rPr>
      <w:b/>
      <w:bCs/>
      <w:i/>
      <w:iCs/>
      <w:smallCaps/>
      <w:color w:val="C0504D" w:themeColor="accent2"/>
      <w:u w:color="C0504D" w:themeColor="accent2"/>
    </w:rPr>
  </w:style>
  <w:style w:type="character" w:styleId="af4">
    <w:name w:val="Book Title"/>
    <w:uiPriority w:val="33"/>
    <w:qFormat/>
    <w:rsid w:val="00A052E9"/>
    <w:rPr>
      <w:rFonts w:asciiTheme="majorHAnsi" w:eastAsiaTheme="majorEastAsia" w:hAnsiTheme="majorHAnsi" w:cstheme="majorBidi"/>
      <w:b/>
      <w:bCs/>
      <w:smallCaps/>
      <w:color w:val="C0504D" w:themeColor="accent2"/>
      <w:u w:val="single"/>
    </w:rPr>
  </w:style>
  <w:style w:type="paragraph" w:styleId="af5">
    <w:name w:val="TOC Heading"/>
    <w:basedOn w:val="1"/>
    <w:next w:val="a0"/>
    <w:uiPriority w:val="39"/>
    <w:semiHidden/>
    <w:unhideWhenUsed/>
    <w:qFormat/>
    <w:rsid w:val="00A052E9"/>
    <w:pPr>
      <w:outlineLvl w:val="9"/>
    </w:pPr>
  </w:style>
  <w:style w:type="paragraph" w:styleId="af6">
    <w:name w:val="header"/>
    <w:basedOn w:val="a0"/>
    <w:link w:val="af7"/>
    <w:uiPriority w:val="99"/>
    <w:unhideWhenUsed/>
    <w:rsid w:val="00DC7BD8"/>
    <w:pPr>
      <w:tabs>
        <w:tab w:val="center" w:pos="4153"/>
        <w:tab w:val="right" w:pos="8306"/>
      </w:tabs>
      <w:snapToGrid w:val="0"/>
    </w:pPr>
    <w:rPr>
      <w:sz w:val="20"/>
      <w:szCs w:val="20"/>
    </w:rPr>
  </w:style>
  <w:style w:type="character" w:customStyle="1" w:styleId="af7">
    <w:name w:val="頁首 字元"/>
    <w:basedOn w:val="a1"/>
    <w:link w:val="af6"/>
    <w:uiPriority w:val="99"/>
    <w:rsid w:val="00DC7BD8"/>
    <w:rPr>
      <w:iCs/>
      <w:sz w:val="20"/>
      <w:szCs w:val="20"/>
    </w:rPr>
  </w:style>
  <w:style w:type="paragraph" w:styleId="af8">
    <w:name w:val="footer"/>
    <w:basedOn w:val="a0"/>
    <w:link w:val="af9"/>
    <w:uiPriority w:val="99"/>
    <w:unhideWhenUsed/>
    <w:rsid w:val="00DC7BD8"/>
    <w:pPr>
      <w:tabs>
        <w:tab w:val="center" w:pos="4153"/>
        <w:tab w:val="right" w:pos="8306"/>
      </w:tabs>
      <w:snapToGrid w:val="0"/>
    </w:pPr>
    <w:rPr>
      <w:sz w:val="20"/>
      <w:szCs w:val="20"/>
    </w:rPr>
  </w:style>
  <w:style w:type="character" w:customStyle="1" w:styleId="af9">
    <w:name w:val="頁尾 字元"/>
    <w:basedOn w:val="a1"/>
    <w:link w:val="af8"/>
    <w:uiPriority w:val="99"/>
    <w:rsid w:val="00DC7BD8"/>
    <w:rPr>
      <w:iCs/>
      <w:sz w:val="20"/>
      <w:szCs w:val="20"/>
    </w:rPr>
  </w:style>
  <w:style w:type="table" w:styleId="afa">
    <w:name w:val="Table Grid"/>
    <w:basedOn w:val="a2"/>
    <w:uiPriority w:val="39"/>
    <w:rsid w:val="004B45E0"/>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0"/>
    <w:link w:val="afc"/>
    <w:uiPriority w:val="99"/>
    <w:semiHidden/>
    <w:unhideWhenUsed/>
    <w:rsid w:val="00DD59DC"/>
    <w:pPr>
      <w:spacing w:after="0" w:line="240" w:lineRule="auto"/>
    </w:pPr>
    <w:rPr>
      <w:rFonts w:asciiTheme="majorHAnsi" w:eastAsiaTheme="majorEastAsia" w:hAnsiTheme="majorHAnsi" w:cstheme="majorBidi"/>
      <w:sz w:val="18"/>
      <w:szCs w:val="18"/>
    </w:rPr>
  </w:style>
  <w:style w:type="character" w:customStyle="1" w:styleId="afc">
    <w:name w:val="註解方塊文字 字元"/>
    <w:basedOn w:val="a1"/>
    <w:link w:val="afb"/>
    <w:uiPriority w:val="99"/>
    <w:semiHidden/>
    <w:rsid w:val="00DD59DC"/>
    <w:rPr>
      <w:rFonts w:asciiTheme="majorHAnsi" w:eastAsiaTheme="majorEastAsia" w:hAnsiTheme="majorHAnsi" w:cstheme="majorBid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2022-05-23T08:31:00Z</cp:lastPrinted>
  <dcterms:created xsi:type="dcterms:W3CDTF">2024-08-05T06:35:00Z</dcterms:created>
  <dcterms:modified xsi:type="dcterms:W3CDTF">2024-08-05T06:35:00Z</dcterms:modified>
</cp:coreProperties>
</file>